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ED" w:rsidRPr="004C1F4D" w:rsidRDefault="001500ED" w:rsidP="001500ED">
      <w:pPr>
        <w:pStyle w:val="Heading1a"/>
        <w:keepNext w:val="0"/>
        <w:keepLines w:val="0"/>
        <w:tabs>
          <w:tab w:val="clear" w:pos="-720"/>
        </w:tabs>
        <w:suppressAutoHyphens w:val="0"/>
        <w:rPr>
          <w:bCs/>
          <w:smallCaps w:val="0"/>
        </w:rPr>
      </w:pPr>
      <w:bookmarkStart w:id="0" w:name="_GoBack"/>
      <w:bookmarkEnd w:id="0"/>
      <w:r w:rsidRPr="004C1F4D">
        <w:rPr>
          <w:bCs/>
          <w:smallCaps w:val="0"/>
        </w:rPr>
        <w:t>Specific Procurement Notice</w:t>
      </w:r>
    </w:p>
    <w:p w:rsidR="001500ED" w:rsidRPr="004C1F4D" w:rsidRDefault="001500ED" w:rsidP="001500ED">
      <w:pPr>
        <w:pStyle w:val="Heading1a"/>
        <w:keepNext w:val="0"/>
        <w:keepLines w:val="0"/>
        <w:tabs>
          <w:tab w:val="clear" w:pos="-720"/>
        </w:tabs>
        <w:suppressAutoHyphens w:val="0"/>
        <w:rPr>
          <w:bCs/>
          <w:smallCaps w:val="0"/>
        </w:rPr>
      </w:pPr>
    </w:p>
    <w:p w:rsidR="001500ED" w:rsidRPr="004C1F4D" w:rsidRDefault="001500ED" w:rsidP="001500ED">
      <w:pPr>
        <w:pStyle w:val="Heading1a"/>
        <w:keepNext w:val="0"/>
        <w:keepLines w:val="0"/>
        <w:tabs>
          <w:tab w:val="clear" w:pos="-720"/>
        </w:tabs>
        <w:suppressAutoHyphens w:val="0"/>
        <w:rPr>
          <w:bCs/>
          <w:smallCaps w:val="0"/>
          <w:sz w:val="44"/>
          <w:szCs w:val="44"/>
        </w:rPr>
      </w:pPr>
      <w:r w:rsidRPr="004C1F4D">
        <w:rPr>
          <w:bCs/>
          <w:smallCaps w:val="0"/>
          <w:sz w:val="44"/>
          <w:szCs w:val="44"/>
        </w:rPr>
        <w:t xml:space="preserve">Request for Bids </w:t>
      </w:r>
    </w:p>
    <w:p w:rsidR="001500ED" w:rsidRPr="004C1F4D" w:rsidRDefault="001500ED" w:rsidP="001500ED">
      <w:pPr>
        <w:pStyle w:val="Heading1a"/>
        <w:keepNext w:val="0"/>
        <w:keepLines w:val="0"/>
        <w:tabs>
          <w:tab w:val="clear" w:pos="-720"/>
        </w:tabs>
        <w:suppressAutoHyphens w:val="0"/>
        <w:rPr>
          <w:bCs/>
          <w:smallCaps w:val="0"/>
          <w:sz w:val="44"/>
          <w:szCs w:val="44"/>
        </w:rPr>
      </w:pPr>
      <w:r w:rsidRPr="004C1F4D">
        <w:rPr>
          <w:bCs/>
          <w:smallCaps w:val="0"/>
          <w:sz w:val="44"/>
          <w:szCs w:val="44"/>
        </w:rPr>
        <w:t>Goods</w:t>
      </w:r>
    </w:p>
    <w:p w:rsidR="001500ED" w:rsidRPr="004C1F4D" w:rsidRDefault="001500ED" w:rsidP="001500ED">
      <w:pPr>
        <w:pStyle w:val="Heading1a"/>
        <w:keepNext w:val="0"/>
        <w:keepLines w:val="0"/>
        <w:tabs>
          <w:tab w:val="clear" w:pos="-720"/>
        </w:tabs>
        <w:suppressAutoHyphens w:val="0"/>
        <w:spacing w:before="120"/>
        <w:rPr>
          <w:bCs/>
          <w:smallCaps w:val="0"/>
        </w:rPr>
      </w:pPr>
      <w:r w:rsidRPr="004C1F4D">
        <w:rPr>
          <w:bCs/>
          <w:smallCaps w:val="0"/>
          <w:sz w:val="28"/>
          <w:szCs w:val="28"/>
        </w:rPr>
        <w:t>(One-Envelope Bidding Process)</w:t>
      </w:r>
    </w:p>
    <w:p w:rsidR="001500ED" w:rsidRPr="004C1F4D" w:rsidRDefault="001500ED" w:rsidP="001500ED">
      <w:pPr>
        <w:pStyle w:val="ChapterNumber"/>
        <w:tabs>
          <w:tab w:val="clear" w:pos="-720"/>
        </w:tabs>
        <w:rPr>
          <w:rFonts w:ascii="Times New Roman" w:hAnsi="Times New Roman"/>
          <w:spacing w:val="-2"/>
        </w:rPr>
      </w:pPr>
    </w:p>
    <w:p w:rsidR="001500ED" w:rsidRPr="004C1F4D" w:rsidRDefault="001500ED" w:rsidP="001500ED">
      <w:pPr>
        <w:suppressAutoHyphens/>
        <w:spacing w:after="60"/>
        <w:rPr>
          <w:b/>
          <w:spacing w:val="-2"/>
        </w:rPr>
      </w:pPr>
    </w:p>
    <w:p w:rsidR="001500ED" w:rsidRPr="004C1F4D" w:rsidRDefault="001500ED" w:rsidP="001500ED">
      <w:pPr>
        <w:suppressAutoHyphens/>
        <w:spacing w:after="60"/>
        <w:rPr>
          <w:spacing w:val="-2"/>
        </w:rPr>
      </w:pPr>
      <w:r w:rsidRPr="004C1F4D">
        <w:rPr>
          <w:b/>
          <w:spacing w:val="-2"/>
        </w:rPr>
        <w:t>Country:</w:t>
      </w:r>
      <w:r w:rsidRPr="004C1F4D">
        <w:t xml:space="preserve"> </w:t>
      </w:r>
      <w:r w:rsidRPr="004C1F4D">
        <w:rPr>
          <w:b/>
          <w:color w:val="000000" w:themeColor="text1"/>
        </w:rPr>
        <w:t>Republic of Serbia</w:t>
      </w:r>
    </w:p>
    <w:p w:rsidR="001500ED" w:rsidRPr="004C1F4D" w:rsidRDefault="001500ED" w:rsidP="001500ED">
      <w:pPr>
        <w:tabs>
          <w:tab w:val="left" w:pos="6660"/>
        </w:tabs>
        <w:suppressAutoHyphens/>
        <w:spacing w:after="60"/>
      </w:pPr>
      <w:r w:rsidRPr="004C1F4D">
        <w:rPr>
          <w:b/>
        </w:rPr>
        <w:t>Name of Project:</w:t>
      </w:r>
      <w:r w:rsidRPr="004C1F4D">
        <w:rPr>
          <w:spacing w:val="-2"/>
        </w:rPr>
        <w:t xml:space="preserve"> </w:t>
      </w:r>
      <w:r w:rsidRPr="004C1F4D">
        <w:rPr>
          <w:b/>
          <w:color w:val="000000" w:themeColor="text1"/>
        </w:rPr>
        <w:t>Enabling Digital Governance Project</w:t>
      </w:r>
      <w:r w:rsidRPr="004C1F4D">
        <w:t xml:space="preserve"> </w:t>
      </w:r>
    </w:p>
    <w:p w:rsidR="001500ED" w:rsidRPr="004C1F4D" w:rsidRDefault="001500ED" w:rsidP="001500ED">
      <w:pPr>
        <w:pStyle w:val="Title"/>
        <w:jc w:val="left"/>
        <w:rPr>
          <w:sz w:val="56"/>
        </w:rPr>
      </w:pPr>
      <w:r w:rsidRPr="004C1F4D">
        <w:rPr>
          <w:sz w:val="24"/>
        </w:rPr>
        <w:t>Contract Title</w:t>
      </w:r>
      <w:r w:rsidRPr="004C1F4D">
        <w:rPr>
          <w:color w:val="000000" w:themeColor="text1"/>
          <w:sz w:val="24"/>
        </w:rPr>
        <w:t xml:space="preserve">: </w:t>
      </w:r>
      <w:bookmarkStart w:id="1" w:name="_Hlk106096760"/>
      <w:r>
        <w:rPr>
          <w:color w:val="000000" w:themeColor="text1"/>
          <w:sz w:val="24"/>
        </w:rPr>
        <w:t>Computer Emergency Response Team (CERT), OITEG Security Operations Center (SOC)</w:t>
      </w:r>
    </w:p>
    <w:bookmarkEnd w:id="1"/>
    <w:p w:rsidR="001500ED" w:rsidRPr="004C1F4D" w:rsidRDefault="001500ED" w:rsidP="001500ED">
      <w:pPr>
        <w:suppressAutoHyphens/>
        <w:spacing w:after="60"/>
      </w:pPr>
      <w:r w:rsidRPr="004C1F4D">
        <w:rPr>
          <w:b/>
        </w:rPr>
        <w:t>Loan No.:</w:t>
      </w:r>
      <w:r w:rsidRPr="004C1F4D">
        <w:rPr>
          <w:b/>
          <w:color w:val="000000" w:themeColor="text1"/>
        </w:rPr>
        <w:t xml:space="preserve"> 8947-YF</w:t>
      </w:r>
    </w:p>
    <w:p w:rsidR="001500ED" w:rsidRPr="004C1F4D" w:rsidRDefault="001500ED" w:rsidP="001500ED">
      <w:pPr>
        <w:suppressAutoHyphens/>
        <w:spacing w:after="60"/>
        <w:rPr>
          <w:spacing w:val="-2"/>
          <w:lang w:val="pt-BR"/>
        </w:rPr>
      </w:pPr>
      <w:r w:rsidRPr="004C1F4D">
        <w:rPr>
          <w:b/>
          <w:spacing w:val="-2"/>
          <w:lang w:val="pt-BR"/>
        </w:rPr>
        <w:t>RFB Reference No.:</w:t>
      </w:r>
      <w:r w:rsidRPr="004C1F4D">
        <w:rPr>
          <w:lang w:val="pt-BR"/>
        </w:rPr>
        <w:t xml:space="preserve"> </w:t>
      </w:r>
      <w:bookmarkStart w:id="2" w:name="_Hlk106096782"/>
      <w:r w:rsidRPr="004C1F4D">
        <w:rPr>
          <w:b/>
          <w:spacing w:val="-2"/>
          <w:lang w:val="pt-BR"/>
        </w:rPr>
        <w:t>SER-EDGE-RFB-G-</w:t>
      </w:r>
      <w:r>
        <w:rPr>
          <w:b/>
          <w:spacing w:val="-2"/>
          <w:lang w:val="pt-BR"/>
        </w:rPr>
        <w:t>22-31</w:t>
      </w:r>
    </w:p>
    <w:bookmarkEnd w:id="2"/>
    <w:p w:rsidR="001500ED" w:rsidRPr="004C1F4D" w:rsidRDefault="001500ED" w:rsidP="001500ED">
      <w:pPr>
        <w:suppressAutoHyphens/>
        <w:rPr>
          <w:spacing w:val="-2"/>
          <w:lang w:val="pt-BR"/>
        </w:rPr>
      </w:pPr>
    </w:p>
    <w:p w:rsidR="001500ED" w:rsidRPr="004C1F4D" w:rsidRDefault="001500ED" w:rsidP="001500ED">
      <w:pPr>
        <w:suppressAutoHyphens/>
        <w:rPr>
          <w:spacing w:val="-2"/>
          <w:lang w:val="pt-BR"/>
        </w:rPr>
      </w:pPr>
    </w:p>
    <w:p w:rsidR="001500ED" w:rsidRPr="004C1F4D" w:rsidRDefault="001500ED" w:rsidP="001500ED">
      <w:pPr>
        <w:suppressAutoHyphens/>
        <w:spacing w:after="200"/>
        <w:ind w:left="547" w:hanging="547"/>
        <w:jc w:val="both"/>
        <w:rPr>
          <w:spacing w:val="-2"/>
        </w:rPr>
      </w:pPr>
      <w:r w:rsidRPr="004C1F4D">
        <w:rPr>
          <w:spacing w:val="-2"/>
        </w:rPr>
        <w:t>1.</w:t>
      </w:r>
      <w:r w:rsidRPr="004C1F4D">
        <w:rPr>
          <w:spacing w:val="-2"/>
        </w:rPr>
        <w:tab/>
        <w:t>The Republic of Serbia has received financing from the World Bank toward the cost of the Enabling Digital Governance Project (</w:t>
      </w:r>
      <w:proofErr w:type="spellStart"/>
      <w:r w:rsidRPr="004C1F4D">
        <w:rPr>
          <w:spacing w:val="-2"/>
        </w:rPr>
        <w:t>EDGe</w:t>
      </w:r>
      <w:proofErr w:type="spellEnd"/>
      <w:r w:rsidRPr="004C1F4D">
        <w:rPr>
          <w:spacing w:val="-2"/>
        </w:rPr>
        <w:t xml:space="preserve">), and intends to apply part of the proceeds toward payments under the contract for </w:t>
      </w:r>
      <w:r>
        <w:rPr>
          <w:color w:val="000000" w:themeColor="text1"/>
        </w:rPr>
        <w:t>Computer Emergency Response Team (CERT), OITEG Security Operations Center (SOC)</w:t>
      </w:r>
      <w:r w:rsidRPr="004C1F4D">
        <w:rPr>
          <w:spacing w:val="-2"/>
        </w:rPr>
        <w:t>. 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rsidR="001500ED" w:rsidRPr="004C1F4D" w:rsidRDefault="001500ED" w:rsidP="001500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C1F4D">
        <w:rPr>
          <w:spacing w:val="-2"/>
        </w:rPr>
        <w:t xml:space="preserve">2. </w:t>
      </w:r>
      <w:r w:rsidRPr="004C1F4D">
        <w:rPr>
          <w:spacing w:val="-2"/>
        </w:rPr>
        <w:tab/>
      </w:r>
      <w:r w:rsidRPr="004C1F4D">
        <w:rPr>
          <w:color w:val="000000"/>
          <w:spacing w:val="-2"/>
        </w:rPr>
        <w:t>The Office for Information Technologies and Electronic Government (</w:t>
      </w:r>
      <w:proofErr w:type="spellStart"/>
      <w:r w:rsidRPr="004C1F4D">
        <w:rPr>
          <w:color w:val="000000"/>
          <w:spacing w:val="-2"/>
        </w:rPr>
        <w:t>OITeG</w:t>
      </w:r>
      <w:proofErr w:type="spellEnd"/>
      <w:r w:rsidRPr="004C1F4D">
        <w:rPr>
          <w:color w:val="000000"/>
          <w:spacing w:val="-2"/>
        </w:rPr>
        <w:t xml:space="preserve">) now invites sealed Bids from eligible Bidders for </w:t>
      </w:r>
      <w:r>
        <w:rPr>
          <w:spacing w:val="-2"/>
        </w:rPr>
        <w:t>Computer Emergency Response Team (CERT), OITEG Security Operations Center (SOC)</w:t>
      </w:r>
      <w:r w:rsidRPr="004C1F4D">
        <w:rPr>
          <w:spacing w:val="-2"/>
        </w:rPr>
        <w:t>. The purpose of the project is:</w:t>
      </w:r>
    </w:p>
    <w:p w:rsidR="001500ED" w:rsidRPr="00C20755" w:rsidRDefault="001500ED" w:rsidP="001500ED">
      <w:pPr>
        <w:pStyle w:val="ListParagraph"/>
        <w:numPr>
          <w:ilvl w:val="0"/>
          <w:numId w:val="4"/>
        </w:numPr>
        <w:suppressAutoHyphens/>
        <w:spacing w:after="60"/>
        <w:rPr>
          <w:spacing w:val="-2"/>
        </w:rPr>
      </w:pPr>
      <w:r w:rsidRPr="00C20755">
        <w:rPr>
          <w:spacing w:val="-2"/>
        </w:rPr>
        <w:t xml:space="preserve">Enhancement of the ICT security </w:t>
      </w:r>
    </w:p>
    <w:p w:rsidR="001500ED" w:rsidRPr="00C20755" w:rsidRDefault="001500ED" w:rsidP="001500ED">
      <w:pPr>
        <w:pStyle w:val="ListParagraph"/>
        <w:numPr>
          <w:ilvl w:val="0"/>
          <w:numId w:val="4"/>
        </w:numPr>
        <w:suppressAutoHyphens/>
        <w:spacing w:after="60"/>
        <w:rPr>
          <w:spacing w:val="-2"/>
        </w:rPr>
      </w:pPr>
      <w:r w:rsidRPr="00C20755">
        <w:rPr>
          <w:spacing w:val="-2"/>
        </w:rPr>
        <w:t xml:space="preserve">Establishing of Security Operation Center (SOC) and </w:t>
      </w:r>
      <w:r w:rsidRPr="00C20755">
        <w:t>Computer Emergency Response Team (CERT) processes for detection and response to cybersecurity incidents</w:t>
      </w:r>
    </w:p>
    <w:p w:rsidR="001500ED" w:rsidRPr="00C20755" w:rsidRDefault="001500ED" w:rsidP="001500ED">
      <w:pPr>
        <w:pStyle w:val="ListParagraph"/>
        <w:numPr>
          <w:ilvl w:val="0"/>
          <w:numId w:val="4"/>
        </w:numPr>
        <w:suppressAutoHyphens/>
        <w:spacing w:after="60"/>
        <w:rPr>
          <w:spacing w:val="-2"/>
        </w:rPr>
      </w:pPr>
      <w:r w:rsidRPr="00C20755">
        <w:rPr>
          <w:spacing w:val="-2"/>
        </w:rPr>
        <w:t>Proactive Monitoring (24x7) services of IT systems and applications</w:t>
      </w:r>
    </w:p>
    <w:p w:rsidR="001500ED" w:rsidRPr="00A06A16" w:rsidRDefault="001500ED" w:rsidP="001500ED">
      <w:pPr>
        <w:spacing w:before="120"/>
        <w:ind w:left="547"/>
      </w:pPr>
      <w:r w:rsidRPr="00C20755">
        <w:t xml:space="preserve">Delivery, installation and testing of the equipment are included in the scope of the work as well as support during warranty period. </w:t>
      </w:r>
    </w:p>
    <w:p w:rsidR="001500ED" w:rsidRPr="004C1F4D" w:rsidRDefault="001500ED" w:rsidP="001500ED">
      <w:pPr>
        <w:pBdr>
          <w:top w:val="nil"/>
          <w:left w:val="nil"/>
          <w:bottom w:val="nil"/>
          <w:right w:val="nil"/>
          <w:between w:val="nil"/>
        </w:pBdr>
        <w:spacing w:before="120"/>
        <w:ind w:firstLine="720"/>
        <w:rPr>
          <w:color w:val="000000"/>
        </w:rPr>
      </w:pPr>
      <w:r w:rsidRPr="00A06A16">
        <w:rPr>
          <w:color w:val="000000"/>
        </w:rPr>
        <w:t>List of all equipment:</w:t>
      </w:r>
      <w:r>
        <w:rPr>
          <w:color w:val="000000"/>
        </w:rPr>
        <w:t xml:space="preserve"> and services: </w:t>
      </w:r>
    </w:p>
    <w:p w:rsidR="001500ED" w:rsidRPr="004C1F4D" w:rsidRDefault="001500ED" w:rsidP="001500ED">
      <w:pPr>
        <w:suppressAutoHyphens/>
        <w:spacing w:after="200"/>
        <w:ind w:left="547" w:hanging="547"/>
        <w:jc w:val="both"/>
        <w:rPr>
          <w:color w:val="000000"/>
        </w:rPr>
      </w:pPr>
    </w:p>
    <w:tbl>
      <w:tblPr>
        <w:tblStyle w:val="TableGrid"/>
        <w:tblW w:w="0" w:type="auto"/>
        <w:tblInd w:w="535" w:type="dxa"/>
        <w:tblLook w:val="04A0" w:firstRow="1" w:lastRow="0" w:firstColumn="1" w:lastColumn="0" w:noHBand="0" w:noVBand="1"/>
      </w:tblPr>
      <w:tblGrid>
        <w:gridCol w:w="696"/>
        <w:gridCol w:w="3520"/>
        <w:gridCol w:w="1583"/>
        <w:gridCol w:w="2814"/>
      </w:tblGrid>
      <w:tr w:rsidR="001500ED" w:rsidRPr="004C1F4D" w:rsidTr="00DC3BD3">
        <w:tc>
          <w:tcPr>
            <w:tcW w:w="453" w:type="dxa"/>
          </w:tcPr>
          <w:p w:rsidR="001500ED" w:rsidRPr="004C1F4D" w:rsidRDefault="001500ED" w:rsidP="00DC3BD3">
            <w:pPr>
              <w:jc w:val="center"/>
            </w:pPr>
            <w:bookmarkStart w:id="3" w:name="_Hlk89597941"/>
            <w:r w:rsidRPr="004C1F4D">
              <w:rPr>
                <w:b/>
              </w:rPr>
              <w:t>Item</w:t>
            </w:r>
          </w:p>
        </w:tc>
        <w:tc>
          <w:tcPr>
            <w:tcW w:w="3520" w:type="dxa"/>
          </w:tcPr>
          <w:p w:rsidR="001500ED" w:rsidRPr="004C1F4D" w:rsidRDefault="001500ED" w:rsidP="00DC3BD3">
            <w:pPr>
              <w:jc w:val="center"/>
            </w:pPr>
            <w:r w:rsidRPr="004C1F4D">
              <w:rPr>
                <w:b/>
              </w:rPr>
              <w:t>Description</w:t>
            </w:r>
          </w:p>
        </w:tc>
        <w:tc>
          <w:tcPr>
            <w:tcW w:w="1583" w:type="dxa"/>
          </w:tcPr>
          <w:p w:rsidR="001500ED" w:rsidRPr="004C1F4D" w:rsidRDefault="001500ED" w:rsidP="00DC3BD3">
            <w:pPr>
              <w:jc w:val="center"/>
            </w:pPr>
            <w:r w:rsidRPr="004C1F4D">
              <w:rPr>
                <w:b/>
              </w:rPr>
              <w:t>Quantity</w:t>
            </w:r>
          </w:p>
        </w:tc>
        <w:tc>
          <w:tcPr>
            <w:tcW w:w="2814" w:type="dxa"/>
          </w:tcPr>
          <w:p w:rsidR="001500ED" w:rsidRPr="004C1F4D" w:rsidRDefault="001500ED" w:rsidP="00DC3BD3">
            <w:pPr>
              <w:jc w:val="center"/>
            </w:pPr>
            <w:r w:rsidRPr="004C1F4D">
              <w:rPr>
                <w:b/>
              </w:rPr>
              <w:t>Unit</w:t>
            </w:r>
          </w:p>
        </w:tc>
      </w:tr>
      <w:tr w:rsidR="001500ED" w:rsidRPr="004C1F4D" w:rsidTr="00DC3BD3">
        <w:tc>
          <w:tcPr>
            <w:tcW w:w="453" w:type="dxa"/>
          </w:tcPr>
          <w:p w:rsidR="001500ED" w:rsidRPr="004C1F4D" w:rsidRDefault="001500ED" w:rsidP="00DC3BD3">
            <w:pPr>
              <w:jc w:val="center"/>
            </w:pPr>
            <w:r w:rsidRPr="004C1F4D">
              <w:t>1.</w:t>
            </w:r>
          </w:p>
        </w:tc>
        <w:tc>
          <w:tcPr>
            <w:tcW w:w="3520" w:type="dxa"/>
            <w:vAlign w:val="center"/>
          </w:tcPr>
          <w:p w:rsidR="001500ED" w:rsidRPr="004C1F4D" w:rsidRDefault="001500ED" w:rsidP="00DC3BD3">
            <w:r w:rsidRPr="00612F0C">
              <w:t xml:space="preserve">Security Information and Event Management (SIEM) </w:t>
            </w:r>
          </w:p>
        </w:tc>
        <w:tc>
          <w:tcPr>
            <w:tcW w:w="1583" w:type="dxa"/>
            <w:vAlign w:val="center"/>
          </w:tcPr>
          <w:p w:rsidR="001500ED" w:rsidRPr="004C1F4D" w:rsidRDefault="001500ED" w:rsidP="00DC3BD3">
            <w:pPr>
              <w:jc w:val="center"/>
            </w:pPr>
            <w:r w:rsidRPr="00612F0C">
              <w:t>1</w:t>
            </w:r>
          </w:p>
        </w:tc>
        <w:tc>
          <w:tcPr>
            <w:tcW w:w="2814" w:type="dxa"/>
            <w:vAlign w:val="center"/>
          </w:tcPr>
          <w:p w:rsidR="001500ED" w:rsidRPr="004C1F4D" w:rsidRDefault="001500ED" w:rsidP="00DC3BD3">
            <w:pPr>
              <w:jc w:val="center"/>
            </w:pPr>
            <w:r w:rsidRPr="00612F0C">
              <w:t>System</w:t>
            </w:r>
          </w:p>
        </w:tc>
      </w:tr>
      <w:tr w:rsidR="001500ED" w:rsidRPr="004C1F4D" w:rsidTr="00DC3BD3">
        <w:tc>
          <w:tcPr>
            <w:tcW w:w="453" w:type="dxa"/>
          </w:tcPr>
          <w:p w:rsidR="001500ED" w:rsidRPr="004C1F4D" w:rsidRDefault="001500ED" w:rsidP="00DC3BD3">
            <w:pPr>
              <w:jc w:val="center"/>
            </w:pPr>
            <w:r w:rsidRPr="004C1F4D">
              <w:lastRenderedPageBreak/>
              <w:t>2.</w:t>
            </w:r>
          </w:p>
        </w:tc>
        <w:tc>
          <w:tcPr>
            <w:tcW w:w="3520" w:type="dxa"/>
            <w:vAlign w:val="center"/>
          </w:tcPr>
          <w:p w:rsidR="001500ED" w:rsidRPr="004C1F4D" w:rsidRDefault="001500ED" w:rsidP="00DC3BD3">
            <w:r w:rsidRPr="00612F0C">
              <w:t>Security Orchestration,</w:t>
            </w:r>
            <w:r>
              <w:t xml:space="preserve"> </w:t>
            </w:r>
            <w:r w:rsidRPr="00612F0C">
              <w:t>Automation and Response</w:t>
            </w:r>
            <w:r>
              <w:t xml:space="preserve"> </w:t>
            </w:r>
            <w:r w:rsidRPr="00612F0C">
              <w:t xml:space="preserve">(SOAR) </w:t>
            </w:r>
          </w:p>
        </w:tc>
        <w:tc>
          <w:tcPr>
            <w:tcW w:w="1583" w:type="dxa"/>
            <w:vAlign w:val="center"/>
          </w:tcPr>
          <w:p w:rsidR="001500ED" w:rsidRPr="004C1F4D" w:rsidRDefault="001500ED" w:rsidP="00DC3BD3">
            <w:pPr>
              <w:jc w:val="center"/>
            </w:pPr>
            <w:r w:rsidRPr="00612F0C">
              <w:t>1</w:t>
            </w:r>
          </w:p>
        </w:tc>
        <w:tc>
          <w:tcPr>
            <w:tcW w:w="2814" w:type="dxa"/>
            <w:vAlign w:val="center"/>
          </w:tcPr>
          <w:p w:rsidR="001500ED" w:rsidRPr="004C1F4D" w:rsidRDefault="001500ED" w:rsidP="00DC3BD3">
            <w:pPr>
              <w:jc w:val="center"/>
            </w:pPr>
            <w:r w:rsidRPr="00612F0C">
              <w:t>System</w:t>
            </w:r>
          </w:p>
        </w:tc>
      </w:tr>
      <w:tr w:rsidR="001500ED" w:rsidRPr="004C1F4D" w:rsidTr="00DC3BD3">
        <w:tc>
          <w:tcPr>
            <w:tcW w:w="453" w:type="dxa"/>
          </w:tcPr>
          <w:p w:rsidR="001500ED" w:rsidRPr="004C1F4D" w:rsidRDefault="001500ED" w:rsidP="00DC3BD3">
            <w:pPr>
              <w:jc w:val="center"/>
            </w:pPr>
            <w:r w:rsidRPr="004C1F4D">
              <w:t>3.</w:t>
            </w:r>
          </w:p>
        </w:tc>
        <w:tc>
          <w:tcPr>
            <w:tcW w:w="3520" w:type="dxa"/>
            <w:vAlign w:val="center"/>
          </w:tcPr>
          <w:p w:rsidR="001500ED" w:rsidRPr="004C1F4D" w:rsidRDefault="001500ED" w:rsidP="00DC3BD3">
            <w:r w:rsidRPr="00612F0C">
              <w:t>Ticketing System</w:t>
            </w:r>
          </w:p>
        </w:tc>
        <w:tc>
          <w:tcPr>
            <w:tcW w:w="1583" w:type="dxa"/>
            <w:vAlign w:val="center"/>
          </w:tcPr>
          <w:p w:rsidR="001500ED" w:rsidRPr="004C1F4D" w:rsidRDefault="001500ED" w:rsidP="00DC3BD3">
            <w:pPr>
              <w:jc w:val="center"/>
            </w:pPr>
            <w:r w:rsidRPr="00612F0C">
              <w:t>1</w:t>
            </w:r>
          </w:p>
        </w:tc>
        <w:tc>
          <w:tcPr>
            <w:tcW w:w="2814" w:type="dxa"/>
            <w:vAlign w:val="center"/>
          </w:tcPr>
          <w:p w:rsidR="001500ED" w:rsidRPr="004C1F4D" w:rsidRDefault="001500ED" w:rsidP="00DC3BD3">
            <w:pPr>
              <w:jc w:val="center"/>
            </w:pPr>
            <w:r w:rsidRPr="00612F0C">
              <w:t>System</w:t>
            </w:r>
          </w:p>
        </w:tc>
      </w:tr>
      <w:tr w:rsidR="001500ED" w:rsidRPr="004C1F4D" w:rsidTr="00DC3BD3">
        <w:tc>
          <w:tcPr>
            <w:tcW w:w="453" w:type="dxa"/>
          </w:tcPr>
          <w:p w:rsidR="001500ED" w:rsidRPr="004C1F4D" w:rsidRDefault="001500ED" w:rsidP="00DC3BD3">
            <w:pPr>
              <w:jc w:val="center"/>
            </w:pPr>
            <w:r w:rsidRPr="004C1F4D">
              <w:t>4.</w:t>
            </w:r>
          </w:p>
        </w:tc>
        <w:tc>
          <w:tcPr>
            <w:tcW w:w="3520" w:type="dxa"/>
            <w:vAlign w:val="center"/>
          </w:tcPr>
          <w:p w:rsidR="001500ED" w:rsidRPr="004C1F4D" w:rsidRDefault="001500ED" w:rsidP="00DC3BD3">
            <w:r w:rsidRPr="00612F0C">
              <w:t xml:space="preserve">Threat Intelligence </w:t>
            </w:r>
          </w:p>
        </w:tc>
        <w:tc>
          <w:tcPr>
            <w:tcW w:w="1583" w:type="dxa"/>
            <w:vAlign w:val="center"/>
          </w:tcPr>
          <w:p w:rsidR="001500ED" w:rsidRPr="004C1F4D" w:rsidRDefault="001500ED" w:rsidP="00DC3BD3">
            <w:pPr>
              <w:jc w:val="center"/>
            </w:pPr>
            <w:r w:rsidRPr="00612F0C">
              <w:t>1</w:t>
            </w:r>
          </w:p>
        </w:tc>
        <w:tc>
          <w:tcPr>
            <w:tcW w:w="2814" w:type="dxa"/>
            <w:vAlign w:val="center"/>
          </w:tcPr>
          <w:p w:rsidR="001500ED" w:rsidRPr="004C1F4D" w:rsidRDefault="001500ED" w:rsidP="00DC3BD3">
            <w:pPr>
              <w:jc w:val="center"/>
            </w:pPr>
            <w:r w:rsidRPr="00612F0C">
              <w:t>System</w:t>
            </w:r>
          </w:p>
        </w:tc>
      </w:tr>
      <w:tr w:rsidR="001500ED" w:rsidRPr="004C1F4D" w:rsidTr="00DC3BD3">
        <w:tc>
          <w:tcPr>
            <w:tcW w:w="453" w:type="dxa"/>
          </w:tcPr>
          <w:p w:rsidR="001500ED" w:rsidRPr="004C1F4D" w:rsidRDefault="001500ED" w:rsidP="00DC3BD3">
            <w:pPr>
              <w:jc w:val="center"/>
            </w:pPr>
            <w:r w:rsidRPr="004C1F4D">
              <w:t>5.</w:t>
            </w:r>
          </w:p>
        </w:tc>
        <w:tc>
          <w:tcPr>
            <w:tcW w:w="3520" w:type="dxa"/>
            <w:vAlign w:val="center"/>
          </w:tcPr>
          <w:p w:rsidR="001500ED" w:rsidRPr="004C1F4D" w:rsidRDefault="001500ED" w:rsidP="00DC3BD3">
            <w:r w:rsidRPr="00612F0C">
              <w:t xml:space="preserve">Device configuration backup and recovery </w:t>
            </w:r>
          </w:p>
        </w:tc>
        <w:tc>
          <w:tcPr>
            <w:tcW w:w="1583" w:type="dxa"/>
            <w:vAlign w:val="center"/>
          </w:tcPr>
          <w:p w:rsidR="001500ED" w:rsidRPr="004C1F4D" w:rsidRDefault="001500ED" w:rsidP="00DC3BD3">
            <w:pPr>
              <w:jc w:val="center"/>
            </w:pPr>
            <w:r w:rsidRPr="00612F0C">
              <w:t>1</w:t>
            </w:r>
          </w:p>
        </w:tc>
        <w:tc>
          <w:tcPr>
            <w:tcW w:w="2814" w:type="dxa"/>
            <w:vAlign w:val="center"/>
          </w:tcPr>
          <w:p w:rsidR="001500ED" w:rsidRPr="004C1F4D" w:rsidRDefault="001500ED" w:rsidP="00DC3BD3">
            <w:pPr>
              <w:jc w:val="center"/>
            </w:pPr>
            <w:r w:rsidRPr="00612F0C">
              <w:t>System</w:t>
            </w:r>
          </w:p>
        </w:tc>
      </w:tr>
      <w:tr w:rsidR="001500ED" w:rsidRPr="004C1F4D" w:rsidTr="00DC3BD3">
        <w:tc>
          <w:tcPr>
            <w:tcW w:w="453" w:type="dxa"/>
          </w:tcPr>
          <w:p w:rsidR="001500ED" w:rsidRPr="004C1F4D" w:rsidRDefault="001500ED" w:rsidP="00DC3BD3">
            <w:pPr>
              <w:jc w:val="center"/>
              <w:rPr>
                <w:b/>
              </w:rPr>
            </w:pPr>
            <w:r w:rsidRPr="004C1F4D">
              <w:t>6.</w:t>
            </w:r>
          </w:p>
        </w:tc>
        <w:tc>
          <w:tcPr>
            <w:tcW w:w="3520" w:type="dxa"/>
            <w:vAlign w:val="center"/>
          </w:tcPr>
          <w:p w:rsidR="001500ED" w:rsidRPr="004C1F4D" w:rsidRDefault="001500ED" w:rsidP="00DC3BD3">
            <w:r w:rsidRPr="00612F0C">
              <w:t>Remote access and control manag</w:t>
            </w:r>
            <w:r>
              <w:t>e</w:t>
            </w:r>
            <w:r w:rsidRPr="00612F0C">
              <w:t>ment</w:t>
            </w:r>
          </w:p>
        </w:tc>
        <w:tc>
          <w:tcPr>
            <w:tcW w:w="1583" w:type="dxa"/>
            <w:vAlign w:val="center"/>
          </w:tcPr>
          <w:p w:rsidR="001500ED" w:rsidRPr="004C1F4D" w:rsidRDefault="001500ED" w:rsidP="00DC3BD3">
            <w:pPr>
              <w:jc w:val="center"/>
            </w:pPr>
            <w:r w:rsidRPr="00612F0C">
              <w:t>1</w:t>
            </w:r>
          </w:p>
        </w:tc>
        <w:tc>
          <w:tcPr>
            <w:tcW w:w="2814" w:type="dxa"/>
            <w:vAlign w:val="center"/>
          </w:tcPr>
          <w:p w:rsidR="001500ED" w:rsidRPr="004C1F4D" w:rsidRDefault="001500ED" w:rsidP="00DC3BD3">
            <w:pPr>
              <w:jc w:val="center"/>
              <w:rPr>
                <w:b/>
              </w:rPr>
            </w:pPr>
            <w:r w:rsidRPr="00612F0C">
              <w:t>System</w:t>
            </w:r>
          </w:p>
        </w:tc>
      </w:tr>
      <w:tr w:rsidR="001500ED" w:rsidRPr="004C1F4D" w:rsidTr="00DC3BD3">
        <w:tc>
          <w:tcPr>
            <w:tcW w:w="453" w:type="dxa"/>
          </w:tcPr>
          <w:p w:rsidR="001500ED" w:rsidRPr="004C1F4D" w:rsidRDefault="001500ED" w:rsidP="00DC3BD3">
            <w:pPr>
              <w:jc w:val="center"/>
              <w:rPr>
                <w:b/>
              </w:rPr>
            </w:pPr>
            <w:r w:rsidRPr="004C1F4D">
              <w:t>7.</w:t>
            </w:r>
          </w:p>
        </w:tc>
        <w:tc>
          <w:tcPr>
            <w:tcW w:w="3520" w:type="dxa"/>
            <w:vAlign w:val="center"/>
          </w:tcPr>
          <w:p w:rsidR="001500ED" w:rsidRPr="004C1F4D" w:rsidRDefault="001500ED" w:rsidP="00DC3BD3">
            <w:r w:rsidRPr="00221DAC">
              <w:t>Consulting services for SOC/CERT</w:t>
            </w:r>
          </w:p>
        </w:tc>
        <w:tc>
          <w:tcPr>
            <w:tcW w:w="1583" w:type="dxa"/>
            <w:vAlign w:val="center"/>
          </w:tcPr>
          <w:p w:rsidR="001500ED" w:rsidRPr="004C1F4D" w:rsidRDefault="001500ED" w:rsidP="00DC3BD3">
            <w:pPr>
              <w:jc w:val="center"/>
            </w:pPr>
            <w:r w:rsidRPr="00221DAC">
              <w:t>1</w:t>
            </w:r>
          </w:p>
        </w:tc>
        <w:tc>
          <w:tcPr>
            <w:tcW w:w="2814" w:type="dxa"/>
            <w:vAlign w:val="center"/>
          </w:tcPr>
          <w:p w:rsidR="001500ED" w:rsidRPr="004C1F4D" w:rsidRDefault="001500ED" w:rsidP="00DC3BD3">
            <w:pPr>
              <w:jc w:val="center"/>
              <w:rPr>
                <w:b/>
              </w:rPr>
            </w:pPr>
          </w:p>
        </w:tc>
      </w:tr>
      <w:bookmarkEnd w:id="3"/>
    </w:tbl>
    <w:p w:rsidR="001500ED" w:rsidRPr="004C1F4D" w:rsidRDefault="001500ED" w:rsidP="001500ED"/>
    <w:p w:rsidR="001500ED" w:rsidRPr="004C1F4D" w:rsidRDefault="001500ED" w:rsidP="001500ED">
      <w:r w:rsidRPr="00A06A16">
        <w:t>All the necessary licenses needed for functioning and advanced functionality included</w:t>
      </w:r>
      <w:r w:rsidRPr="00C20755">
        <w:t>.</w:t>
      </w:r>
    </w:p>
    <w:p w:rsidR="001500ED" w:rsidRPr="004C1F4D" w:rsidRDefault="001500ED" w:rsidP="001500ED"/>
    <w:p w:rsidR="001500ED" w:rsidRPr="004C1F4D" w:rsidRDefault="001500ED" w:rsidP="001500ED">
      <w:r w:rsidRPr="004C1F4D">
        <w:t>Qualification criteria:</w:t>
      </w:r>
    </w:p>
    <w:p w:rsidR="001500ED" w:rsidRPr="004C1F4D" w:rsidRDefault="001500ED" w:rsidP="001500ED"/>
    <w:p w:rsidR="001500ED" w:rsidRDefault="001500ED" w:rsidP="001500ED">
      <w:pPr>
        <w:pStyle w:val="ListParagraph"/>
        <w:numPr>
          <w:ilvl w:val="0"/>
          <w:numId w:val="1"/>
        </w:numPr>
      </w:pPr>
      <w:r w:rsidRPr="004C1F4D">
        <w:rPr>
          <w:color w:val="000000"/>
        </w:rPr>
        <w:t xml:space="preserve">The Bidder shall furnish documentary evidence that it meets the following </w:t>
      </w:r>
      <w:r w:rsidRPr="004C1F4D">
        <w:t xml:space="preserve">financial requirement(s): The externally audited balance sheets for the period 2018-2020 will be submitted. Where necessary, the Purchaser will make inquiries with the Bidder’s bankers. The Bidder shall document via the externally audited balance sheet average annual turnover of minimum EURO </w:t>
      </w:r>
      <w:r>
        <w:t>2,200,000</w:t>
      </w:r>
      <w:r w:rsidRPr="004C1F4D">
        <w:t>.00 during the last three years (2018-2020).</w:t>
      </w:r>
    </w:p>
    <w:p w:rsidR="001500ED" w:rsidRDefault="001500ED" w:rsidP="001500ED">
      <w:pPr>
        <w:pStyle w:val="ListParagraph"/>
      </w:pPr>
    </w:p>
    <w:p w:rsidR="001500ED" w:rsidRPr="00563F73" w:rsidRDefault="001500ED" w:rsidP="001500ED">
      <w:pPr>
        <w:pStyle w:val="ListParagraph"/>
        <w:numPr>
          <w:ilvl w:val="0"/>
          <w:numId w:val="1"/>
        </w:numPr>
        <w:jc w:val="both"/>
      </w:pPr>
      <w:r w:rsidRPr="00563F73">
        <w:rPr>
          <w:color w:val="000000"/>
        </w:rPr>
        <w:t xml:space="preserve">The Bidder shall furnish documentary evidence to demonstrate that it meets the following experience requirement(s): </w:t>
      </w:r>
    </w:p>
    <w:p w:rsidR="001500ED" w:rsidRPr="006A7DD3" w:rsidRDefault="001500ED" w:rsidP="001500ED">
      <w:pPr>
        <w:pStyle w:val="ListParagraph"/>
        <w:numPr>
          <w:ilvl w:val="0"/>
          <w:numId w:val="2"/>
        </w:numPr>
        <w:jc w:val="both"/>
      </w:pPr>
      <w:bookmarkStart w:id="4" w:name="_Hlk106097012"/>
      <w:r w:rsidRPr="006A7DD3">
        <w:t xml:space="preserve">During the past </w:t>
      </w:r>
      <w:r>
        <w:t>five</w:t>
      </w:r>
      <w:r w:rsidRPr="006A7DD3">
        <w:t xml:space="preserve"> (</w:t>
      </w:r>
      <w:r>
        <w:t>5</w:t>
      </w:r>
      <w:r w:rsidRPr="006A7DD3">
        <w:t xml:space="preserve">) years before the date of publishing this RFB, the Bidder must have at least </w:t>
      </w:r>
      <w:r>
        <w:t xml:space="preserve">two contracts of </w:t>
      </w:r>
      <w:r w:rsidRPr="006A7DD3">
        <w:t xml:space="preserve">successful implementation of system for analysis of security alerts </w:t>
      </w:r>
      <w:r>
        <w:t xml:space="preserve">each </w:t>
      </w:r>
      <w:r w:rsidRPr="006A7DD3">
        <w:t xml:space="preserve">with </w:t>
      </w:r>
      <w:r>
        <w:t>a</w:t>
      </w:r>
      <w:r w:rsidRPr="006A7DD3">
        <w:t xml:space="preserve"> minimum value of EURO </w:t>
      </w:r>
      <w:r>
        <w:t>5</w:t>
      </w:r>
      <w:r w:rsidRPr="006A7DD3">
        <w:t>00,000.00 for the offered manufacturer. To prove this, the Bidder must submit original statement</w:t>
      </w:r>
      <w:r>
        <w:t>s</w:t>
      </w:r>
      <w:r w:rsidRPr="006A7DD3">
        <w:t>, signed by the client, with requested information.</w:t>
      </w:r>
    </w:p>
    <w:bookmarkEnd w:id="4"/>
    <w:p w:rsidR="001500ED" w:rsidRPr="004C1F4D" w:rsidRDefault="001500ED" w:rsidP="001500ED">
      <w:pPr>
        <w:pStyle w:val="ListParagraph"/>
        <w:jc w:val="both"/>
      </w:pPr>
    </w:p>
    <w:p w:rsidR="001500ED" w:rsidRPr="004C1F4D" w:rsidRDefault="001500ED" w:rsidP="001500ED">
      <w:pPr>
        <w:pStyle w:val="ListParagraph"/>
        <w:numPr>
          <w:ilvl w:val="0"/>
          <w:numId w:val="1"/>
        </w:numPr>
        <w:jc w:val="both"/>
      </w:pPr>
      <w:r w:rsidRPr="004C1F4D">
        <w:t xml:space="preserve">The Bidder must have valid </w:t>
      </w:r>
      <w:r w:rsidRPr="00E155AB">
        <w:t>ISO 9001, ISO 20000-1, ISO 27001certificates. In case of Joint Venture (JV), each member of JV must be ISO 20000-1and ISO 27001 certified. To prove this, the Bidder must provide copies of ISO certificates</w:t>
      </w:r>
      <w:r w:rsidRPr="004C1F4D">
        <w:t xml:space="preserve">. </w:t>
      </w:r>
    </w:p>
    <w:p w:rsidR="001500ED" w:rsidRPr="004C1F4D" w:rsidRDefault="001500ED" w:rsidP="001500ED">
      <w:pPr>
        <w:ind w:left="360"/>
        <w:jc w:val="both"/>
      </w:pPr>
    </w:p>
    <w:p w:rsidR="001500ED" w:rsidRDefault="001500ED" w:rsidP="001500ED">
      <w:pPr>
        <w:pStyle w:val="ListParagraph"/>
        <w:numPr>
          <w:ilvl w:val="0"/>
          <w:numId w:val="1"/>
        </w:numPr>
        <w:jc w:val="both"/>
      </w:pPr>
      <w:r>
        <w:t>The Bidder must have at least five (5) certified experts for following technologies, that are subject of technical offer.  All experts must submit certificates required as proof.</w:t>
      </w:r>
    </w:p>
    <w:p w:rsidR="001500ED" w:rsidRDefault="001500ED" w:rsidP="001500ED">
      <w:pPr>
        <w:pStyle w:val="ListParagraph"/>
        <w:numPr>
          <w:ilvl w:val="0"/>
          <w:numId w:val="2"/>
        </w:numPr>
        <w:jc w:val="both"/>
      </w:pPr>
      <w:r>
        <w:t xml:space="preserve">Two (2) certified experts with a valid certificate for offered SIEM solution. Certificate must be at least of the professional level issued by manufacturer. </w:t>
      </w:r>
    </w:p>
    <w:p w:rsidR="001500ED" w:rsidRDefault="001500ED" w:rsidP="001500ED">
      <w:pPr>
        <w:pStyle w:val="ListParagraph"/>
        <w:numPr>
          <w:ilvl w:val="0"/>
          <w:numId w:val="2"/>
        </w:numPr>
        <w:jc w:val="both"/>
      </w:pPr>
      <w:r>
        <w:t>One (1) certified expert with a valid certificate in network routing &amp; switching solution. Certificate must be at least of the expert level issued by CISCO - Cisco Certified Internetwork Expert.</w:t>
      </w:r>
    </w:p>
    <w:p w:rsidR="001500ED" w:rsidRDefault="001500ED" w:rsidP="001500ED">
      <w:pPr>
        <w:pStyle w:val="ListParagraph"/>
        <w:numPr>
          <w:ilvl w:val="0"/>
          <w:numId w:val="2"/>
        </w:numPr>
        <w:jc w:val="both"/>
      </w:pPr>
      <w:r>
        <w:t>One (1) certified expert with expertise in information security governance, program development and management, incident management and risk management. Certificate must be at least of the expert level issued by ISACA - Certified Information Security Manager.</w:t>
      </w:r>
    </w:p>
    <w:p w:rsidR="001500ED" w:rsidRDefault="001500ED" w:rsidP="001500ED">
      <w:pPr>
        <w:pStyle w:val="ListParagraph"/>
        <w:numPr>
          <w:ilvl w:val="0"/>
          <w:numId w:val="2"/>
        </w:numPr>
        <w:jc w:val="both"/>
      </w:pPr>
      <w:r>
        <w:lastRenderedPageBreak/>
        <w:t>One (1) certified security expert in areas of access control systems and methodology, business continuity planning and disaster recovery planning, security operations. Certificate must be at least of the expert level issued by ISC2 - Certified Information Systems Security Professional.</w:t>
      </w:r>
    </w:p>
    <w:p w:rsidR="001500ED" w:rsidRDefault="001500ED" w:rsidP="001500ED">
      <w:pPr>
        <w:pStyle w:val="ListParagraph"/>
        <w:numPr>
          <w:ilvl w:val="0"/>
          <w:numId w:val="2"/>
        </w:numPr>
        <w:jc w:val="both"/>
      </w:pPr>
      <w:r>
        <w:t>If the experts are not fluent in Serbian language, the Supplier is obligated to provide translator fluent in Serbian language.</w:t>
      </w:r>
    </w:p>
    <w:p w:rsidR="001500ED" w:rsidRDefault="001500ED" w:rsidP="001500ED">
      <w:pPr>
        <w:pStyle w:val="ListParagraph"/>
        <w:jc w:val="both"/>
        <w:rPr>
          <w:highlight w:val="green"/>
        </w:rPr>
      </w:pPr>
    </w:p>
    <w:p w:rsidR="001500ED" w:rsidRDefault="001500ED" w:rsidP="001500ED">
      <w:pPr>
        <w:jc w:val="both"/>
      </w:pPr>
    </w:p>
    <w:p w:rsidR="001500ED" w:rsidRPr="004C1F4D" w:rsidRDefault="001500ED" w:rsidP="001500ED">
      <w:pPr>
        <w:pStyle w:val="ListParagraph"/>
        <w:numPr>
          <w:ilvl w:val="0"/>
          <w:numId w:val="1"/>
        </w:numPr>
        <w:jc w:val="both"/>
      </w:pPr>
      <w:r w:rsidRPr="004C1F4D">
        <w:t>The successful Bidder must have the following support capabilities, during warranty period, or must demonstrate in the bid documentation a credible plan for establishing such capabilities by the contract signing:</w:t>
      </w:r>
    </w:p>
    <w:p w:rsidR="001500ED" w:rsidRPr="007B78C1" w:rsidRDefault="001500ED" w:rsidP="001500ED">
      <w:pPr>
        <w:pStyle w:val="ListParagraph"/>
        <w:numPr>
          <w:ilvl w:val="0"/>
          <w:numId w:val="3"/>
        </w:numPr>
        <w:shd w:val="clear" w:color="auto" w:fill="FFFFFF"/>
        <w:spacing w:after="160" w:line="259" w:lineRule="auto"/>
        <w:jc w:val="both"/>
        <w:rPr>
          <w:shd w:val="clear" w:color="auto" w:fill="FFFFFF"/>
        </w:rPr>
      </w:pPr>
      <w:r w:rsidRPr="006A7DD3">
        <w:rPr>
          <w:shd w:val="clear" w:color="auto" w:fill="FFFFFF"/>
        </w:rPr>
        <w:t>Help-Desk telephone and/or Web page service with automatic problems application must be active 24 hours, every day.</w:t>
      </w:r>
    </w:p>
    <w:p w:rsidR="001500ED" w:rsidRPr="003E5DCA" w:rsidRDefault="001500ED" w:rsidP="001500ED">
      <w:pPr>
        <w:pStyle w:val="ListParagraph"/>
        <w:numPr>
          <w:ilvl w:val="0"/>
          <w:numId w:val="3"/>
        </w:numPr>
        <w:shd w:val="clear" w:color="auto" w:fill="FFFFFF"/>
        <w:spacing w:after="160" w:line="259" w:lineRule="auto"/>
        <w:jc w:val="both"/>
        <w:rPr>
          <w:shd w:val="clear" w:color="auto" w:fill="FFFFFF"/>
        </w:rPr>
      </w:pPr>
      <w:r w:rsidRPr="007B78C1">
        <w:rPr>
          <w:shd w:val="clear" w:color="auto" w:fill="FFFFFF"/>
        </w:rPr>
        <w:t xml:space="preserve">For Technical </w:t>
      </w:r>
      <w:r w:rsidRPr="00C20755">
        <w:rPr>
          <w:shd w:val="clear" w:color="auto" w:fill="FFFFFF"/>
        </w:rPr>
        <w:t xml:space="preserve">Support Services, on-site if necessary, the Bidder must provide service warranties in accordance with the times defined in the SLA (Service Level Agreement) table. List of </w:t>
      </w:r>
      <w:r w:rsidRPr="00A06A16">
        <w:rPr>
          <w:shd w:val="clear" w:color="auto" w:fill="FFFFFF"/>
        </w:rPr>
        <w:t>spare parts is to be provided by Supplier.</w:t>
      </w:r>
      <w:r w:rsidRPr="00C20755">
        <w:rPr>
          <w:shd w:val="clear" w:color="auto" w:fill="FFFFFF"/>
        </w:rPr>
        <w:t xml:space="preserve"> Recovery time for the locations outside Belgrade will be extended for the time spent in travelling (1h per each 50 km), for each delivery site</w:t>
      </w:r>
      <w:r w:rsidRPr="003E5DCA">
        <w:rPr>
          <w:shd w:val="clear" w:color="auto" w:fill="FFFFFF"/>
        </w:rPr>
        <w:t>;</w:t>
      </w:r>
    </w:p>
    <w:p w:rsidR="001500ED" w:rsidRPr="00997CC2" w:rsidRDefault="001500ED" w:rsidP="001500ED">
      <w:pPr>
        <w:shd w:val="clear" w:color="auto" w:fill="FFFFFF"/>
        <w:rPr>
          <w:shd w:val="clear" w:color="auto" w:fill="FFFFFF"/>
        </w:rPr>
      </w:pPr>
      <w:r w:rsidRPr="00997CC2">
        <w:rPr>
          <w:shd w:val="clear" w:color="auto" w:fill="FFFFFF"/>
        </w:rPr>
        <w:t>SLA table:</w:t>
      </w:r>
    </w:p>
    <w:p w:rsidR="001500ED" w:rsidRDefault="001500ED" w:rsidP="001500ED">
      <w:pPr>
        <w:shd w:val="clear" w:color="auto" w:fill="FFFFFF"/>
        <w:rPr>
          <w:color w:val="FF0000"/>
          <w:shd w:val="clear" w:color="auto" w:fill="FFFFFF"/>
        </w:rPr>
      </w:pPr>
    </w:p>
    <w:tbl>
      <w:tblPr>
        <w:tblW w:w="761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378"/>
        <w:gridCol w:w="1989"/>
        <w:gridCol w:w="2122"/>
        <w:gridCol w:w="2122"/>
      </w:tblGrid>
      <w:tr w:rsidR="001500ED" w:rsidRPr="00BE24EC" w:rsidTr="00DC3BD3">
        <w:trPr>
          <w:trHeight w:val="437"/>
          <w:jc w:val="center"/>
        </w:trPr>
        <w:tc>
          <w:tcPr>
            <w:tcW w:w="1378" w:type="dxa"/>
            <w:shd w:val="clear" w:color="auto" w:fill="F2F2F2" w:themeFill="background1" w:themeFillShade="F2"/>
            <w:vAlign w:val="center"/>
          </w:tcPr>
          <w:p w:rsidR="001500ED" w:rsidRPr="00997CC2" w:rsidRDefault="001500ED" w:rsidP="00DC3BD3">
            <w:pPr>
              <w:jc w:val="center"/>
              <w:rPr>
                <w:b/>
                <w:color w:val="000000"/>
                <w:lang w:val="sr-Latn-RS"/>
              </w:rPr>
            </w:pPr>
            <w:bookmarkStart w:id="5" w:name="_Hlk101338618"/>
            <w:r w:rsidRPr="00997CC2">
              <w:rPr>
                <w:b/>
                <w:color w:val="000000"/>
                <w:lang w:val="sr-Latn-RS"/>
              </w:rPr>
              <w:t>Fault level</w:t>
            </w:r>
          </w:p>
        </w:tc>
        <w:tc>
          <w:tcPr>
            <w:tcW w:w="1989" w:type="dxa"/>
            <w:shd w:val="clear" w:color="auto" w:fill="F2F2F2" w:themeFill="background1" w:themeFillShade="F2"/>
            <w:vAlign w:val="center"/>
          </w:tcPr>
          <w:p w:rsidR="001500ED" w:rsidRPr="00997CC2" w:rsidRDefault="001500ED" w:rsidP="00DC3BD3">
            <w:pPr>
              <w:jc w:val="center"/>
              <w:rPr>
                <w:b/>
                <w:lang w:val="sr-Latn-RS"/>
              </w:rPr>
            </w:pPr>
            <w:r w:rsidRPr="00997CC2">
              <w:rPr>
                <w:b/>
              </w:rPr>
              <w:t>Response time</w:t>
            </w:r>
          </w:p>
        </w:tc>
        <w:tc>
          <w:tcPr>
            <w:tcW w:w="2122" w:type="dxa"/>
            <w:shd w:val="clear" w:color="auto" w:fill="F2F2F2" w:themeFill="background1" w:themeFillShade="F2"/>
            <w:vAlign w:val="center"/>
          </w:tcPr>
          <w:p w:rsidR="001500ED" w:rsidRPr="00997CC2" w:rsidRDefault="001500ED" w:rsidP="00DC3BD3">
            <w:pPr>
              <w:jc w:val="center"/>
              <w:rPr>
                <w:b/>
                <w:lang w:val="sr-Latn-RS"/>
              </w:rPr>
            </w:pPr>
            <w:r w:rsidRPr="00997CC2">
              <w:rPr>
                <w:b/>
              </w:rPr>
              <w:t>Recovery time</w:t>
            </w:r>
          </w:p>
        </w:tc>
        <w:tc>
          <w:tcPr>
            <w:tcW w:w="2122" w:type="dxa"/>
            <w:shd w:val="clear" w:color="auto" w:fill="F2F2F2" w:themeFill="background1" w:themeFillShade="F2"/>
            <w:vAlign w:val="center"/>
          </w:tcPr>
          <w:p w:rsidR="001500ED" w:rsidRPr="00997CC2" w:rsidRDefault="001500ED" w:rsidP="00DC3BD3">
            <w:pPr>
              <w:jc w:val="center"/>
              <w:rPr>
                <w:b/>
              </w:rPr>
            </w:pPr>
            <w:r w:rsidRPr="00997CC2">
              <w:rPr>
                <w:b/>
              </w:rPr>
              <w:t>Re</w:t>
            </w:r>
            <w:r>
              <w:rPr>
                <w:b/>
              </w:rPr>
              <w:t>solution</w:t>
            </w:r>
            <w:r w:rsidRPr="00997CC2">
              <w:rPr>
                <w:b/>
              </w:rPr>
              <w:t xml:space="preserve"> time</w:t>
            </w:r>
          </w:p>
        </w:tc>
      </w:tr>
      <w:tr w:rsidR="001500ED" w:rsidRPr="00BE24EC" w:rsidTr="00DC3BD3">
        <w:trPr>
          <w:trHeight w:val="471"/>
          <w:jc w:val="center"/>
        </w:trPr>
        <w:tc>
          <w:tcPr>
            <w:tcW w:w="1378" w:type="dxa"/>
            <w:shd w:val="clear" w:color="auto" w:fill="FFFFFF"/>
            <w:vAlign w:val="center"/>
          </w:tcPr>
          <w:p w:rsidR="001500ED" w:rsidRPr="00BE24EC" w:rsidRDefault="001500ED" w:rsidP="00DC3BD3">
            <w:pPr>
              <w:jc w:val="center"/>
              <w:rPr>
                <w:b/>
                <w:color w:val="000000"/>
                <w:lang w:val="sr-Latn-RS"/>
              </w:rPr>
            </w:pPr>
            <w:r>
              <w:rPr>
                <w:b/>
                <w:color w:val="000000"/>
                <w:lang w:val="sr-Latn-RS"/>
              </w:rPr>
              <w:t>CRITICAL</w:t>
            </w:r>
          </w:p>
        </w:tc>
        <w:tc>
          <w:tcPr>
            <w:tcW w:w="1989" w:type="dxa"/>
            <w:vAlign w:val="center"/>
          </w:tcPr>
          <w:p w:rsidR="001500ED" w:rsidRPr="00997CC2" w:rsidRDefault="001500ED" w:rsidP="00DC3BD3">
            <w:pPr>
              <w:jc w:val="center"/>
            </w:pPr>
            <w:r w:rsidRPr="00997CC2">
              <w:rPr>
                <w:b/>
                <w:bCs/>
                <w:lang w:val="sr-Latn-RS"/>
              </w:rPr>
              <w:t>30</w:t>
            </w:r>
            <w:r w:rsidRPr="00997CC2">
              <w:rPr>
                <w:lang w:val="sr-Latn-RS"/>
              </w:rPr>
              <w:t xml:space="preserve"> </w:t>
            </w:r>
            <w:r w:rsidRPr="00997CC2">
              <w:t>minutes</w:t>
            </w:r>
          </w:p>
        </w:tc>
        <w:tc>
          <w:tcPr>
            <w:tcW w:w="2122" w:type="dxa"/>
            <w:vAlign w:val="center"/>
          </w:tcPr>
          <w:p w:rsidR="001500ED" w:rsidRPr="00997CC2" w:rsidRDefault="001500ED" w:rsidP="00DC3BD3">
            <w:pPr>
              <w:jc w:val="center"/>
              <w:rPr>
                <w:lang w:val="sr-Latn-RS"/>
              </w:rPr>
            </w:pPr>
            <w:r>
              <w:rPr>
                <w:b/>
                <w:bCs/>
                <w:lang w:val="sr-Latn-RS"/>
              </w:rPr>
              <w:t>6</w:t>
            </w:r>
            <w:r w:rsidRPr="00997CC2">
              <w:rPr>
                <w:lang w:val="sr-Latn-RS"/>
              </w:rPr>
              <w:t xml:space="preserve"> </w:t>
            </w:r>
            <w:r>
              <w:t>hours</w:t>
            </w:r>
          </w:p>
        </w:tc>
        <w:tc>
          <w:tcPr>
            <w:tcW w:w="2122" w:type="dxa"/>
            <w:vAlign w:val="center"/>
          </w:tcPr>
          <w:p w:rsidR="001500ED" w:rsidRPr="00997CC2" w:rsidRDefault="001500ED" w:rsidP="00DC3BD3">
            <w:pPr>
              <w:jc w:val="center"/>
              <w:rPr>
                <w:b/>
                <w:bCs/>
                <w:lang w:val="sr-Latn-RS"/>
              </w:rPr>
            </w:pPr>
            <w:r w:rsidRPr="00997CC2">
              <w:rPr>
                <w:b/>
                <w:bCs/>
                <w:lang w:val="sr-Latn-RS"/>
              </w:rPr>
              <w:t>5</w:t>
            </w:r>
            <w:r w:rsidRPr="00997CC2">
              <w:rPr>
                <w:lang w:val="sr-Latn-RS"/>
              </w:rPr>
              <w:t xml:space="preserve"> </w:t>
            </w:r>
            <w:r w:rsidRPr="00997CC2">
              <w:t>days</w:t>
            </w:r>
          </w:p>
        </w:tc>
      </w:tr>
      <w:tr w:rsidR="001500ED" w:rsidRPr="00BE24EC" w:rsidTr="00DC3BD3">
        <w:trPr>
          <w:trHeight w:val="420"/>
          <w:jc w:val="center"/>
        </w:trPr>
        <w:tc>
          <w:tcPr>
            <w:tcW w:w="1378" w:type="dxa"/>
            <w:shd w:val="clear" w:color="auto" w:fill="FFFFFF"/>
            <w:vAlign w:val="center"/>
          </w:tcPr>
          <w:p w:rsidR="001500ED" w:rsidRPr="00BE24EC" w:rsidRDefault="001500ED" w:rsidP="00DC3BD3">
            <w:pPr>
              <w:jc w:val="center"/>
              <w:rPr>
                <w:b/>
                <w:color w:val="000000"/>
                <w:lang w:val="sr-Latn-RS"/>
              </w:rPr>
            </w:pPr>
            <w:r>
              <w:rPr>
                <w:b/>
                <w:color w:val="000000"/>
                <w:lang w:val="sr-Latn-RS"/>
              </w:rPr>
              <w:t>SERIOUS</w:t>
            </w:r>
          </w:p>
        </w:tc>
        <w:tc>
          <w:tcPr>
            <w:tcW w:w="1989" w:type="dxa"/>
            <w:vAlign w:val="center"/>
          </w:tcPr>
          <w:p w:rsidR="001500ED" w:rsidRPr="00997CC2" w:rsidRDefault="001500ED" w:rsidP="00DC3BD3">
            <w:pPr>
              <w:jc w:val="center"/>
              <w:rPr>
                <w:lang w:val="sr-Latn-RS"/>
              </w:rPr>
            </w:pPr>
            <w:r>
              <w:rPr>
                <w:b/>
                <w:bCs/>
                <w:lang w:val="sr-Latn-RS"/>
              </w:rPr>
              <w:t>6</w:t>
            </w:r>
            <w:r w:rsidRPr="00997CC2">
              <w:rPr>
                <w:b/>
                <w:bCs/>
                <w:lang w:val="sr-Latn-RS"/>
              </w:rPr>
              <w:t>0</w:t>
            </w:r>
            <w:r w:rsidRPr="00997CC2">
              <w:rPr>
                <w:lang w:val="sr-Latn-RS"/>
              </w:rPr>
              <w:t xml:space="preserve"> </w:t>
            </w:r>
            <w:r w:rsidRPr="00997CC2">
              <w:t>minutes</w:t>
            </w:r>
          </w:p>
        </w:tc>
        <w:tc>
          <w:tcPr>
            <w:tcW w:w="2122" w:type="dxa"/>
            <w:vAlign w:val="center"/>
          </w:tcPr>
          <w:p w:rsidR="001500ED" w:rsidRPr="00997CC2" w:rsidRDefault="001500ED" w:rsidP="00DC3BD3">
            <w:pPr>
              <w:jc w:val="center"/>
              <w:rPr>
                <w:lang w:val="sr-Latn-RS"/>
              </w:rPr>
            </w:pPr>
            <w:r w:rsidRPr="00997CC2">
              <w:rPr>
                <w:b/>
                <w:bCs/>
                <w:lang w:val="sr-Latn-RS"/>
              </w:rPr>
              <w:t>1</w:t>
            </w:r>
            <w:r>
              <w:rPr>
                <w:b/>
                <w:bCs/>
                <w:lang w:val="sr-Latn-RS"/>
              </w:rPr>
              <w:t>2</w:t>
            </w:r>
            <w:r w:rsidRPr="00997CC2">
              <w:rPr>
                <w:lang w:val="sr-Latn-RS"/>
              </w:rPr>
              <w:t xml:space="preserve"> </w:t>
            </w:r>
            <w:r>
              <w:rPr>
                <w:lang w:val="sr-Latn-RS"/>
              </w:rPr>
              <w:t>hours</w:t>
            </w:r>
          </w:p>
        </w:tc>
        <w:tc>
          <w:tcPr>
            <w:tcW w:w="2122" w:type="dxa"/>
            <w:vAlign w:val="center"/>
          </w:tcPr>
          <w:p w:rsidR="001500ED" w:rsidRPr="00997CC2" w:rsidRDefault="001500ED" w:rsidP="00DC3BD3">
            <w:pPr>
              <w:jc w:val="center"/>
              <w:rPr>
                <w:b/>
                <w:bCs/>
                <w:lang w:val="sr-Latn-RS"/>
              </w:rPr>
            </w:pPr>
            <w:r w:rsidRPr="00997CC2">
              <w:rPr>
                <w:b/>
                <w:bCs/>
                <w:lang w:val="sr-Latn-RS"/>
              </w:rPr>
              <w:t>10</w:t>
            </w:r>
            <w:r w:rsidRPr="00997CC2">
              <w:rPr>
                <w:lang w:val="sr-Latn-RS"/>
              </w:rPr>
              <w:t xml:space="preserve"> days</w:t>
            </w:r>
          </w:p>
        </w:tc>
      </w:tr>
      <w:tr w:rsidR="001500ED" w:rsidRPr="00BE24EC" w:rsidTr="00DC3BD3">
        <w:trPr>
          <w:trHeight w:val="414"/>
          <w:jc w:val="center"/>
        </w:trPr>
        <w:tc>
          <w:tcPr>
            <w:tcW w:w="1378" w:type="dxa"/>
            <w:shd w:val="clear" w:color="auto" w:fill="FFFFFF"/>
            <w:vAlign w:val="center"/>
          </w:tcPr>
          <w:p w:rsidR="001500ED" w:rsidRPr="00BE24EC" w:rsidRDefault="001500ED" w:rsidP="00DC3BD3">
            <w:pPr>
              <w:jc w:val="center"/>
              <w:rPr>
                <w:b/>
                <w:color w:val="000000"/>
                <w:lang w:val="sr-Latn-RS"/>
              </w:rPr>
            </w:pPr>
            <w:r>
              <w:rPr>
                <w:b/>
                <w:color w:val="000000"/>
                <w:lang w:val="sr-Latn-RS"/>
              </w:rPr>
              <w:t>LOW</w:t>
            </w:r>
          </w:p>
        </w:tc>
        <w:tc>
          <w:tcPr>
            <w:tcW w:w="1989" w:type="dxa"/>
            <w:vAlign w:val="center"/>
          </w:tcPr>
          <w:p w:rsidR="001500ED" w:rsidRPr="00997CC2" w:rsidRDefault="001500ED" w:rsidP="00DC3BD3">
            <w:pPr>
              <w:jc w:val="center"/>
              <w:rPr>
                <w:lang w:val="sr-Latn-RS"/>
              </w:rPr>
            </w:pPr>
            <w:r w:rsidRPr="00997CC2">
              <w:rPr>
                <w:b/>
                <w:bCs/>
                <w:lang w:val="sr-Latn-RS"/>
              </w:rPr>
              <w:t>12</w:t>
            </w:r>
            <w:r w:rsidRPr="00997CC2">
              <w:rPr>
                <w:lang w:val="sr-Latn-RS"/>
              </w:rPr>
              <w:t xml:space="preserve"> </w:t>
            </w:r>
            <w:r w:rsidRPr="00997CC2">
              <w:t>hours</w:t>
            </w:r>
          </w:p>
        </w:tc>
        <w:tc>
          <w:tcPr>
            <w:tcW w:w="2122" w:type="dxa"/>
            <w:vAlign w:val="center"/>
          </w:tcPr>
          <w:p w:rsidR="001500ED" w:rsidRPr="00997CC2" w:rsidRDefault="001500ED" w:rsidP="00DC3BD3">
            <w:pPr>
              <w:jc w:val="center"/>
              <w:rPr>
                <w:lang w:val="sr-Latn-RS"/>
              </w:rPr>
            </w:pPr>
            <w:r>
              <w:rPr>
                <w:b/>
                <w:bCs/>
                <w:lang w:val="sr-Latn-RS"/>
              </w:rPr>
              <w:t>40</w:t>
            </w:r>
            <w:r w:rsidRPr="00997CC2">
              <w:rPr>
                <w:lang w:val="sr-Latn-RS"/>
              </w:rPr>
              <w:t xml:space="preserve"> </w:t>
            </w:r>
            <w:r>
              <w:rPr>
                <w:lang w:val="sr-Latn-RS"/>
              </w:rPr>
              <w:t>hours</w:t>
            </w:r>
          </w:p>
        </w:tc>
        <w:tc>
          <w:tcPr>
            <w:tcW w:w="2122" w:type="dxa"/>
            <w:vAlign w:val="center"/>
          </w:tcPr>
          <w:p w:rsidR="001500ED" w:rsidRPr="00997CC2" w:rsidRDefault="001500ED" w:rsidP="00DC3BD3">
            <w:pPr>
              <w:jc w:val="center"/>
              <w:rPr>
                <w:b/>
                <w:bCs/>
                <w:lang w:val="sr-Latn-RS"/>
              </w:rPr>
            </w:pPr>
            <w:r w:rsidRPr="00997CC2">
              <w:rPr>
                <w:b/>
                <w:bCs/>
                <w:lang w:val="sr-Latn-RS"/>
              </w:rPr>
              <w:t>20</w:t>
            </w:r>
            <w:r w:rsidRPr="00997CC2">
              <w:rPr>
                <w:lang w:val="sr-Latn-RS"/>
              </w:rPr>
              <w:t xml:space="preserve"> days</w:t>
            </w:r>
          </w:p>
        </w:tc>
      </w:tr>
      <w:bookmarkEnd w:id="5"/>
    </w:tbl>
    <w:p w:rsidR="001500ED" w:rsidRDefault="001500ED" w:rsidP="001500ED">
      <w:pPr>
        <w:jc w:val="both"/>
      </w:pPr>
    </w:p>
    <w:p w:rsidR="001500ED" w:rsidRPr="004C1F4D" w:rsidRDefault="001500ED" w:rsidP="001500ED">
      <w:pPr>
        <w:pStyle w:val="ListParagraph"/>
        <w:ind w:left="1440"/>
        <w:jc w:val="both"/>
      </w:pPr>
    </w:p>
    <w:p w:rsidR="001500ED" w:rsidRPr="00A06A16" w:rsidRDefault="001500ED" w:rsidP="001500ED">
      <w:pPr>
        <w:pStyle w:val="ListParagraph"/>
        <w:numPr>
          <w:ilvl w:val="0"/>
          <w:numId w:val="1"/>
        </w:numPr>
        <w:jc w:val="both"/>
      </w:pPr>
      <w:r w:rsidRPr="00A06A16">
        <w:t>Manufacturer’s Authorizations are required for offered SIEM solution, except for those technologies that the Bidder itself manufactures.</w:t>
      </w:r>
    </w:p>
    <w:p w:rsidR="001500ED" w:rsidRPr="00656D23" w:rsidRDefault="001500ED" w:rsidP="001500ED">
      <w:pPr>
        <w:pStyle w:val="ListParagraph"/>
        <w:jc w:val="both"/>
        <w:rPr>
          <w:highlight w:val="green"/>
        </w:rPr>
      </w:pPr>
    </w:p>
    <w:p w:rsidR="001500ED" w:rsidRPr="00C20755" w:rsidRDefault="001500ED" w:rsidP="001500ED">
      <w:pPr>
        <w:pStyle w:val="ListParagraph"/>
        <w:numPr>
          <w:ilvl w:val="0"/>
          <w:numId w:val="1"/>
        </w:numPr>
        <w:jc w:val="both"/>
      </w:pPr>
      <w:r w:rsidRPr="00A06A16">
        <w:t>The successful Bidder, for all offered equipment and services, must provide warranty period at least 12 months from issuance of Operational Acceptance Signed</w:t>
      </w:r>
      <w:r w:rsidRPr="00C20755">
        <w:t>.</w:t>
      </w:r>
    </w:p>
    <w:p w:rsidR="001500ED" w:rsidRPr="004C1F4D" w:rsidRDefault="001500ED" w:rsidP="001500ED">
      <w:pPr>
        <w:pStyle w:val="ListParagraph"/>
      </w:pPr>
    </w:p>
    <w:p w:rsidR="001500ED" w:rsidRPr="004C1F4D" w:rsidRDefault="001500ED" w:rsidP="001500ED">
      <w:pPr>
        <w:suppressAutoHyphens/>
        <w:spacing w:after="200"/>
        <w:ind w:left="547" w:hanging="547"/>
        <w:jc w:val="both"/>
        <w:rPr>
          <w:spacing w:val="-2"/>
        </w:rPr>
      </w:pPr>
      <w:r w:rsidRPr="004C1F4D">
        <w:rPr>
          <w:spacing w:val="-2"/>
        </w:rPr>
        <w:t xml:space="preserve">3. </w:t>
      </w:r>
      <w:r w:rsidRPr="004C1F4D">
        <w:rPr>
          <w:spacing w:val="-2"/>
        </w:rPr>
        <w:tab/>
        <w:t xml:space="preserve">Bidding will be conducted through </w:t>
      </w:r>
      <w:r w:rsidRPr="004C1F4D">
        <w:t xml:space="preserve">international competitive procurement using a Request for Bids (RFB) </w:t>
      </w:r>
      <w:r w:rsidRPr="004C1F4D">
        <w:rPr>
          <w:spacing w:val="-2"/>
        </w:rPr>
        <w:t xml:space="preserve">as specified in the World Bank’s “Procurement </w:t>
      </w:r>
      <w:r w:rsidRPr="004C1F4D">
        <w:t>Regulations for IPF Borrowers”</w:t>
      </w:r>
      <w:r w:rsidRPr="004C1F4D">
        <w:rPr>
          <w:spacing w:val="-2"/>
        </w:rPr>
        <w:t xml:space="preserve"> </w:t>
      </w:r>
      <w:r w:rsidRPr="004C1F4D">
        <w:rPr>
          <w:iCs/>
          <w:color w:val="000000"/>
          <w:spacing w:val="-2"/>
        </w:rPr>
        <w:t>(July 2016</w:t>
      </w:r>
      <w:r w:rsidRPr="004C1F4D">
        <w:rPr>
          <w:color w:val="000000"/>
          <w:spacing w:val="-2"/>
        </w:rPr>
        <w:t xml:space="preserve"> </w:t>
      </w:r>
      <w:r w:rsidRPr="004C1F4D">
        <w:rPr>
          <w:iCs/>
          <w:color w:val="000000"/>
          <w:spacing w:val="-2"/>
        </w:rPr>
        <w:t>Revised November 2017 and August 2018)</w:t>
      </w:r>
      <w:r w:rsidRPr="004C1F4D">
        <w:rPr>
          <w:spacing w:val="-2"/>
        </w:rPr>
        <w:t xml:space="preserve"> (“Procurement Regulations”), and is open to all eligible Bidders as defined in the Procurement Regulations.</w:t>
      </w:r>
    </w:p>
    <w:p w:rsidR="001500ED" w:rsidRPr="004C1F4D" w:rsidRDefault="001500ED" w:rsidP="001500ED">
      <w:pPr>
        <w:ind w:left="630" w:hanging="630"/>
        <w:jc w:val="both"/>
        <w:rPr>
          <w:color w:val="000000"/>
          <w:spacing w:val="-2"/>
          <w:szCs w:val="20"/>
        </w:rPr>
      </w:pPr>
      <w:r w:rsidRPr="004C1F4D">
        <w:rPr>
          <w:spacing w:val="-2"/>
        </w:rPr>
        <w:t xml:space="preserve">4. </w:t>
      </w:r>
      <w:r w:rsidRPr="004C1F4D">
        <w:rPr>
          <w:spacing w:val="-2"/>
        </w:rPr>
        <w:tab/>
        <w:t>Interested eligible Bidders may obtain further information from</w:t>
      </w:r>
      <w:r w:rsidRPr="004C1F4D">
        <w:rPr>
          <w:color w:val="000000"/>
          <w:spacing w:val="-2"/>
          <w:szCs w:val="20"/>
        </w:rPr>
        <w:t xml:space="preserve"> the </w:t>
      </w:r>
      <w:r w:rsidRPr="004C1F4D">
        <w:rPr>
          <w:color w:val="000000"/>
          <w:spacing w:val="-2"/>
          <w:szCs w:val="20"/>
          <w:lang w:val="sr-Latn-RS"/>
        </w:rPr>
        <w:t xml:space="preserve">Central Fiduciary Unit of the Ministry of Finance </w:t>
      </w:r>
      <w:r w:rsidRPr="004C1F4D">
        <w:rPr>
          <w:color w:val="000000"/>
          <w:spacing w:val="-2"/>
          <w:szCs w:val="20"/>
        </w:rPr>
        <w:t>and inspect the bidding documents from 09:00 to 15:00 hours at the address given below.</w:t>
      </w:r>
    </w:p>
    <w:p w:rsidR="001500ED" w:rsidRPr="004C1F4D" w:rsidRDefault="001500ED" w:rsidP="001500ED">
      <w:pPr>
        <w:ind w:left="630" w:hanging="630"/>
        <w:jc w:val="both"/>
        <w:rPr>
          <w:i/>
          <w:color w:val="000000"/>
          <w:spacing w:val="-2"/>
          <w:szCs w:val="20"/>
        </w:rPr>
      </w:pPr>
    </w:p>
    <w:p w:rsidR="001500ED" w:rsidRPr="004C1F4D" w:rsidRDefault="001500ED" w:rsidP="001500ED">
      <w:pPr>
        <w:ind w:left="630" w:hanging="630"/>
        <w:jc w:val="both"/>
        <w:rPr>
          <w:color w:val="000000"/>
          <w:spacing w:val="-2"/>
          <w:szCs w:val="20"/>
        </w:rPr>
      </w:pPr>
      <w:r w:rsidRPr="004C1F4D">
        <w:rPr>
          <w:spacing w:val="-2"/>
        </w:rPr>
        <w:t xml:space="preserve">5. </w:t>
      </w:r>
      <w:r w:rsidRPr="004C1F4D">
        <w:rPr>
          <w:spacing w:val="-2"/>
        </w:rPr>
        <w:tab/>
      </w:r>
      <w:r w:rsidRPr="004C1F4D">
        <w:rPr>
          <w:color w:val="000000"/>
          <w:spacing w:val="-2"/>
          <w:szCs w:val="20"/>
        </w:rPr>
        <w:t xml:space="preserve">The bidding document in English only may be purchased by interested eligible Bidders upon the submission of a written application to the address below and upon payment of a </w:t>
      </w:r>
      <w:r w:rsidRPr="004C1F4D">
        <w:rPr>
          <w:color w:val="000000"/>
          <w:spacing w:val="-2"/>
          <w:szCs w:val="20"/>
        </w:rPr>
        <w:lastRenderedPageBreak/>
        <w:t xml:space="preserve">nonrefundable fee of </w:t>
      </w:r>
      <w:r w:rsidRPr="000D61EB">
        <w:rPr>
          <w:color w:val="000000"/>
          <w:spacing w:val="-2"/>
          <w:szCs w:val="20"/>
        </w:rPr>
        <w:t>EURO 30.00</w:t>
      </w:r>
      <w:r w:rsidRPr="004C1F4D">
        <w:rPr>
          <w:szCs w:val="20"/>
        </w:rPr>
        <w:t xml:space="preserve"> </w:t>
      </w:r>
      <w:r w:rsidRPr="004C1F4D">
        <w:rPr>
          <w:color w:val="000000"/>
          <w:spacing w:val="-2"/>
          <w:szCs w:val="20"/>
        </w:rPr>
        <w:t xml:space="preserve">or equivalent in Serbian Dinars (RSD) based on the selling exchange rate published by the National Bank of Serbia on the date of payment. </w:t>
      </w:r>
    </w:p>
    <w:p w:rsidR="001500ED" w:rsidRPr="004C1F4D" w:rsidRDefault="001500ED" w:rsidP="001500ED">
      <w:pPr>
        <w:ind w:left="630" w:hanging="630"/>
        <w:jc w:val="both"/>
        <w:rPr>
          <w:color w:val="000000"/>
          <w:spacing w:val="-2"/>
          <w:szCs w:val="20"/>
        </w:rPr>
      </w:pPr>
    </w:p>
    <w:p w:rsidR="001500ED" w:rsidRPr="004C1F4D" w:rsidRDefault="001500ED" w:rsidP="001500ED">
      <w:pPr>
        <w:suppressAutoHyphens/>
        <w:spacing w:after="120"/>
        <w:ind w:left="630"/>
        <w:jc w:val="both"/>
        <w:rPr>
          <w:color w:val="000000"/>
          <w:spacing w:val="-2"/>
          <w:szCs w:val="20"/>
        </w:rPr>
      </w:pPr>
      <w:r w:rsidRPr="004C1F4D">
        <w:rPr>
          <w:color w:val="000000"/>
          <w:spacing w:val="-2"/>
          <w:szCs w:val="20"/>
        </w:rPr>
        <w:t xml:space="preserve">Domestic Bidders shall make payment to the Government Treasury Account no.: </w:t>
      </w:r>
    </w:p>
    <w:p w:rsidR="001500ED" w:rsidRPr="004C1F4D" w:rsidRDefault="001500ED" w:rsidP="001500ED">
      <w:pPr>
        <w:suppressAutoHyphens/>
        <w:spacing w:after="120"/>
        <w:ind w:left="630"/>
        <w:jc w:val="both"/>
        <w:rPr>
          <w:color w:val="000000"/>
          <w:spacing w:val="-2"/>
          <w:szCs w:val="20"/>
        </w:rPr>
      </w:pPr>
      <w:r w:rsidRPr="004C1F4D">
        <w:rPr>
          <w:color w:val="000000"/>
          <w:spacing w:val="-2"/>
          <w:szCs w:val="20"/>
        </w:rPr>
        <w:t>840-745128843-36- Other budget revenues of the Republic, with reference to the model approval number 97 41601, payment code 253 with obligatory Purpose of payment: SER-EDGE-RFB-G-</w:t>
      </w:r>
      <w:r>
        <w:rPr>
          <w:color w:val="000000"/>
          <w:spacing w:val="-2"/>
          <w:szCs w:val="20"/>
        </w:rPr>
        <w:t>22-31</w:t>
      </w:r>
      <w:r w:rsidRPr="004C1F4D">
        <w:rPr>
          <w:color w:val="000000"/>
          <w:spacing w:val="-2"/>
          <w:szCs w:val="20"/>
        </w:rPr>
        <w:t>.</w:t>
      </w:r>
    </w:p>
    <w:p w:rsidR="001500ED" w:rsidRPr="004C1F4D" w:rsidRDefault="001500ED" w:rsidP="001500ED">
      <w:pPr>
        <w:suppressAutoHyphens/>
        <w:spacing w:after="120"/>
        <w:ind w:left="630"/>
        <w:jc w:val="both"/>
        <w:rPr>
          <w:color w:val="000000"/>
          <w:spacing w:val="-2"/>
          <w:szCs w:val="20"/>
        </w:rPr>
      </w:pPr>
      <w:r w:rsidRPr="004C1F4D">
        <w:rPr>
          <w:color w:val="000000"/>
          <w:spacing w:val="-2"/>
          <w:szCs w:val="20"/>
        </w:rPr>
        <w:t>Foreign bidders shall make payment according to following payment instructions:</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FIELD 32A: VALUE DATE-EUR-AMOUNT</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FIELD 50K: ORDERING CUSTOMER</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FIELD 56A: DEUTDEFFXXX</w:t>
      </w:r>
    </w:p>
    <w:p w:rsidR="001500ED" w:rsidRPr="004C1F4D" w:rsidRDefault="001500ED" w:rsidP="001500ED">
      <w:pPr>
        <w:autoSpaceDE w:val="0"/>
        <w:autoSpaceDN w:val="0"/>
        <w:adjustRightInd w:val="0"/>
        <w:ind w:firstLine="630"/>
        <w:rPr>
          <w:rFonts w:ascii="Arial" w:hAnsi="Arial" w:cs="Arial"/>
          <w:sz w:val="20"/>
          <w:szCs w:val="20"/>
          <w:lang w:val="de-AT"/>
        </w:rPr>
      </w:pPr>
      <w:r w:rsidRPr="004C1F4D">
        <w:rPr>
          <w:rFonts w:ascii="Arial" w:hAnsi="Arial" w:cs="Arial"/>
          <w:sz w:val="20"/>
          <w:szCs w:val="20"/>
          <w:lang w:val="de-AT"/>
        </w:rPr>
        <w:t>(INTERMEDIARY) DEUTSCHE BANK AG., F/M</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TAUNUSANLAGE 12</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GERMANY</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FIELD 57A:</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(ACC.WITH BANK) NBSRRSBGXXX</w:t>
      </w:r>
      <w:r w:rsidRPr="004C1F4D">
        <w:rPr>
          <w:rFonts w:ascii="Arial" w:hAnsi="Arial" w:cs="Arial"/>
          <w:sz w:val="20"/>
          <w:szCs w:val="20"/>
        </w:rPr>
        <w:tab/>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 xml:space="preserve">NARODNA BANKA </w:t>
      </w:r>
      <w:proofErr w:type="gramStart"/>
      <w:r w:rsidRPr="004C1F4D">
        <w:rPr>
          <w:rFonts w:ascii="Arial" w:hAnsi="Arial" w:cs="Arial"/>
          <w:sz w:val="20"/>
          <w:szCs w:val="20"/>
        </w:rPr>
        <w:t>SRBIJE(</w:t>
      </w:r>
      <w:proofErr w:type="gramEnd"/>
      <w:r w:rsidRPr="004C1F4D">
        <w:rPr>
          <w:rFonts w:ascii="Arial" w:hAnsi="Arial" w:cs="Arial"/>
          <w:sz w:val="20"/>
          <w:szCs w:val="20"/>
        </w:rPr>
        <w:t>NATIONAL BANK OF SERBIA-NBS)</w:t>
      </w:r>
    </w:p>
    <w:p w:rsidR="001500ED" w:rsidRPr="004C1F4D" w:rsidRDefault="001500ED" w:rsidP="001500ED">
      <w:pPr>
        <w:autoSpaceDE w:val="0"/>
        <w:autoSpaceDN w:val="0"/>
        <w:adjustRightInd w:val="0"/>
        <w:ind w:firstLine="630"/>
        <w:rPr>
          <w:rFonts w:ascii="Arial" w:hAnsi="Arial" w:cs="Arial"/>
          <w:sz w:val="20"/>
          <w:szCs w:val="20"/>
          <w:lang w:val="pt-BR"/>
        </w:rPr>
      </w:pPr>
      <w:r w:rsidRPr="004C1F4D">
        <w:rPr>
          <w:rFonts w:ascii="Arial" w:hAnsi="Arial" w:cs="Arial"/>
          <w:sz w:val="20"/>
          <w:szCs w:val="20"/>
          <w:lang w:val="pt-BR"/>
        </w:rPr>
        <w:t>BEOGRAD,</w:t>
      </w:r>
      <w:r w:rsidRPr="004C1F4D">
        <w:rPr>
          <w:szCs w:val="20"/>
          <w:lang w:val="pt-BR"/>
        </w:rPr>
        <w:t xml:space="preserve"> </w:t>
      </w:r>
      <w:r w:rsidRPr="004C1F4D">
        <w:rPr>
          <w:rFonts w:ascii="Arial" w:hAnsi="Arial" w:cs="Arial"/>
          <w:sz w:val="20"/>
          <w:szCs w:val="20"/>
          <w:lang w:val="pt-BR"/>
        </w:rPr>
        <w:t>KRALJA PETRA 12</w:t>
      </w:r>
    </w:p>
    <w:p w:rsidR="001500ED" w:rsidRPr="004C1F4D" w:rsidRDefault="001500ED" w:rsidP="001500ED">
      <w:pPr>
        <w:autoSpaceDE w:val="0"/>
        <w:autoSpaceDN w:val="0"/>
        <w:adjustRightInd w:val="0"/>
        <w:ind w:firstLine="630"/>
        <w:rPr>
          <w:rFonts w:ascii="Arial" w:hAnsi="Arial" w:cs="Arial"/>
          <w:sz w:val="20"/>
          <w:szCs w:val="20"/>
          <w:lang w:val="pt-BR"/>
        </w:rPr>
      </w:pPr>
      <w:r w:rsidRPr="004C1F4D">
        <w:rPr>
          <w:rFonts w:ascii="Arial" w:hAnsi="Arial" w:cs="Arial"/>
          <w:sz w:val="20"/>
          <w:szCs w:val="20"/>
          <w:lang w:val="pt-BR"/>
        </w:rPr>
        <w:t>SERBIA</w:t>
      </w:r>
    </w:p>
    <w:p w:rsidR="001500ED" w:rsidRPr="004C1F4D" w:rsidRDefault="001500ED" w:rsidP="001500ED">
      <w:pPr>
        <w:autoSpaceDE w:val="0"/>
        <w:autoSpaceDN w:val="0"/>
        <w:adjustRightInd w:val="0"/>
        <w:ind w:firstLine="630"/>
        <w:rPr>
          <w:rFonts w:ascii="Arial" w:hAnsi="Arial" w:cs="Arial"/>
          <w:sz w:val="20"/>
          <w:szCs w:val="20"/>
          <w:lang w:val="pt-BR"/>
        </w:rPr>
      </w:pPr>
      <w:r w:rsidRPr="004C1F4D">
        <w:rPr>
          <w:rFonts w:ascii="Arial" w:hAnsi="Arial" w:cs="Arial"/>
          <w:sz w:val="20"/>
          <w:szCs w:val="20"/>
          <w:lang w:val="pt-BR"/>
        </w:rPr>
        <w:t>FIELD 59: /RS35840000000000273086</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(BENEFICIARY) REPUBLIC OF SERBIA-BUDGET</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KRALJA MILANA BR.14</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BEOGRAD</w:t>
      </w:r>
    </w:p>
    <w:p w:rsidR="001500ED" w:rsidRPr="004C1F4D" w:rsidRDefault="001500ED" w:rsidP="001500ED">
      <w:pPr>
        <w:autoSpaceDE w:val="0"/>
        <w:autoSpaceDN w:val="0"/>
        <w:adjustRightInd w:val="0"/>
        <w:ind w:firstLine="630"/>
        <w:rPr>
          <w:rFonts w:ascii="Arial" w:hAnsi="Arial" w:cs="Arial"/>
          <w:sz w:val="20"/>
          <w:szCs w:val="20"/>
        </w:rPr>
      </w:pPr>
      <w:r w:rsidRPr="004C1F4D">
        <w:rPr>
          <w:rFonts w:ascii="Arial" w:hAnsi="Arial" w:cs="Arial"/>
          <w:sz w:val="20"/>
          <w:szCs w:val="20"/>
        </w:rPr>
        <w:t>SERBIA</w:t>
      </w:r>
    </w:p>
    <w:p w:rsidR="001500ED" w:rsidRPr="004C1F4D" w:rsidRDefault="001500ED" w:rsidP="001500ED">
      <w:pPr>
        <w:suppressAutoHyphens/>
        <w:spacing w:after="120"/>
        <w:ind w:firstLine="630"/>
        <w:jc w:val="both"/>
        <w:rPr>
          <w:color w:val="000000"/>
          <w:spacing w:val="-2"/>
          <w:szCs w:val="20"/>
        </w:rPr>
      </w:pPr>
      <w:r w:rsidRPr="004C1F4D">
        <w:rPr>
          <w:rFonts w:ascii="Arial" w:hAnsi="Arial" w:cs="Arial"/>
          <w:sz w:val="20"/>
          <w:szCs w:val="20"/>
        </w:rPr>
        <w:t>FIELD 70: DETAILS OF PAYMENT</w:t>
      </w:r>
      <w:r w:rsidRPr="004C1F4D">
        <w:rPr>
          <w:szCs w:val="20"/>
        </w:rPr>
        <w:t xml:space="preserve"> </w:t>
      </w:r>
      <w:r w:rsidRPr="004C1F4D">
        <w:rPr>
          <w:rFonts w:ascii="Arial" w:hAnsi="Arial" w:cs="Arial"/>
          <w:sz w:val="20"/>
          <w:szCs w:val="20"/>
        </w:rPr>
        <w:t>Ref: SER-EDGE-RFB-G-</w:t>
      </w:r>
      <w:r>
        <w:rPr>
          <w:rFonts w:ascii="Arial" w:hAnsi="Arial" w:cs="Arial"/>
          <w:sz w:val="20"/>
          <w:szCs w:val="20"/>
        </w:rPr>
        <w:t>22-31</w:t>
      </w:r>
    </w:p>
    <w:p w:rsidR="001500ED" w:rsidRPr="004C1F4D" w:rsidRDefault="001500ED" w:rsidP="001500ED">
      <w:pPr>
        <w:suppressAutoHyphens/>
        <w:spacing w:after="120"/>
        <w:ind w:left="630"/>
        <w:jc w:val="both"/>
        <w:rPr>
          <w:color w:val="000000"/>
          <w:spacing w:val="-2"/>
          <w:szCs w:val="20"/>
        </w:rPr>
      </w:pPr>
      <w:r w:rsidRPr="004C1F4D">
        <w:rPr>
          <w:color w:val="000000"/>
          <w:spacing w:val="-2"/>
          <w:szCs w:val="20"/>
        </w:rPr>
        <w:t>Bank/transfer charges are on bidder’s account.</w:t>
      </w:r>
      <w:r w:rsidRPr="004C1F4D">
        <w:rPr>
          <w:szCs w:val="20"/>
        </w:rPr>
        <w:t xml:space="preserve"> </w:t>
      </w:r>
      <w:r w:rsidRPr="004C1F4D">
        <w:rPr>
          <w:color w:val="000000"/>
          <w:spacing w:val="-2"/>
          <w:szCs w:val="20"/>
        </w:rPr>
        <w:t>Kindly mark in instruction for payment.</w:t>
      </w:r>
    </w:p>
    <w:p w:rsidR="001500ED" w:rsidRPr="004C1F4D" w:rsidRDefault="001500ED" w:rsidP="001500ED">
      <w:pPr>
        <w:suppressAutoHyphens/>
        <w:spacing w:after="120"/>
        <w:ind w:left="630"/>
        <w:jc w:val="both"/>
        <w:rPr>
          <w:color w:val="000000"/>
          <w:spacing w:val="-2"/>
          <w:szCs w:val="20"/>
        </w:rPr>
      </w:pPr>
      <w:r w:rsidRPr="000D61EB">
        <w:rPr>
          <w:spacing w:val="-2"/>
        </w:rPr>
        <w:t>The document will be sent by e-mail.</w:t>
      </w:r>
    </w:p>
    <w:p w:rsidR="001500ED" w:rsidRPr="006A42C4" w:rsidRDefault="001500ED" w:rsidP="001500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0"/>
        </w:rPr>
      </w:pPr>
      <w:r w:rsidRPr="004C1F4D">
        <w:rPr>
          <w:spacing w:val="-2"/>
        </w:rPr>
        <w:t xml:space="preserve">6. </w:t>
      </w:r>
      <w:r w:rsidRPr="004C1F4D">
        <w:rPr>
          <w:spacing w:val="-2"/>
        </w:rPr>
        <w:tab/>
      </w:r>
      <w:r w:rsidRPr="006A42C4">
        <w:rPr>
          <w:spacing w:val="-2"/>
        </w:rPr>
        <w:t xml:space="preserve">Bids must be delivered by email to the electronic mail address below on or before </w:t>
      </w:r>
      <w:r>
        <w:rPr>
          <w:b/>
          <w:spacing w:val="-2"/>
          <w:szCs w:val="20"/>
        </w:rPr>
        <w:t>August 04</w:t>
      </w:r>
      <w:r w:rsidRPr="006A42C4">
        <w:rPr>
          <w:b/>
          <w:spacing w:val="-2"/>
          <w:szCs w:val="20"/>
        </w:rPr>
        <w:t xml:space="preserve">, 2022, 12:00 Noon, local </w:t>
      </w:r>
      <w:r w:rsidRPr="006A42C4">
        <w:rPr>
          <w:b/>
          <w:spacing w:val="-2"/>
        </w:rPr>
        <w:t>time</w:t>
      </w:r>
      <w:r w:rsidRPr="006A42C4">
        <w:rPr>
          <w:i/>
          <w:spacing w:val="-2"/>
        </w:rPr>
        <w:t>.</w:t>
      </w:r>
      <w:r w:rsidRPr="006A42C4">
        <w:t xml:space="preserve"> Bids must be password protected and have hash value.</w:t>
      </w:r>
      <w:r w:rsidRPr="006A42C4">
        <w:rPr>
          <w:spacing w:val="-2"/>
        </w:rPr>
        <w:t xml:space="preserve"> Late Bids will be rejected. Bids will be publicly opened in the presence of the Bidders’ designated representatives and anyone who chooses to attend on </w:t>
      </w:r>
      <w:r>
        <w:rPr>
          <w:b/>
          <w:spacing w:val="-2"/>
          <w:szCs w:val="20"/>
        </w:rPr>
        <w:t>August 04</w:t>
      </w:r>
      <w:r w:rsidRPr="006A42C4">
        <w:rPr>
          <w:b/>
          <w:spacing w:val="-2"/>
          <w:szCs w:val="20"/>
        </w:rPr>
        <w:t>, 2022, 12:15 p.m. local time via Zoom meeting.</w:t>
      </w:r>
    </w:p>
    <w:p w:rsidR="001500ED" w:rsidRPr="006A42C4" w:rsidRDefault="001500ED" w:rsidP="001500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C1F4D">
        <w:rPr>
          <w:spacing w:val="-2"/>
        </w:rPr>
        <w:t xml:space="preserve">7. </w:t>
      </w:r>
      <w:r w:rsidRPr="004C1F4D">
        <w:rPr>
          <w:spacing w:val="-2"/>
        </w:rPr>
        <w:tab/>
      </w:r>
      <w:r w:rsidRPr="006A42C4">
        <w:rPr>
          <w:spacing w:val="-2"/>
        </w:rPr>
        <w:t>All Bids must be accompanied by a Bid Securing Declaration</w:t>
      </w:r>
      <w:r w:rsidRPr="006A42C4">
        <w:rPr>
          <w:b/>
          <w:spacing w:val="-2"/>
        </w:rPr>
        <w:t>.</w:t>
      </w:r>
    </w:p>
    <w:p w:rsidR="001500ED" w:rsidRPr="004C1F4D" w:rsidRDefault="001500ED" w:rsidP="001500ED">
      <w:pPr>
        <w:ind w:left="630" w:hanging="630"/>
        <w:rPr>
          <w:i/>
          <w:color w:val="000000"/>
          <w:szCs w:val="20"/>
        </w:rPr>
      </w:pPr>
      <w:r w:rsidRPr="004C1F4D">
        <w:rPr>
          <w:iCs/>
          <w:spacing w:val="-2"/>
        </w:rPr>
        <w:t>8.</w:t>
      </w:r>
      <w:r w:rsidRPr="004C1F4D">
        <w:rPr>
          <w:iCs/>
          <w:spacing w:val="-2"/>
        </w:rPr>
        <w:tab/>
      </w:r>
      <w:r w:rsidRPr="004C1F4D">
        <w:rPr>
          <w:iCs/>
          <w:color w:val="000000"/>
          <w:szCs w:val="20"/>
        </w:rPr>
        <w:t>The addresses referred to above are:</w:t>
      </w:r>
    </w:p>
    <w:p w:rsidR="001500ED" w:rsidRPr="004C1F4D" w:rsidRDefault="001500ED" w:rsidP="001500ED">
      <w:pPr>
        <w:suppressAutoHyphens/>
        <w:jc w:val="both"/>
        <w:rPr>
          <w:szCs w:val="20"/>
          <w:lang w:val="sr-Latn-RS"/>
        </w:rPr>
      </w:pPr>
    </w:p>
    <w:p w:rsidR="001500ED" w:rsidRPr="004C1F4D" w:rsidRDefault="001500ED" w:rsidP="001500ED">
      <w:pPr>
        <w:suppressAutoHyphens/>
        <w:ind w:firstLine="630"/>
        <w:jc w:val="both"/>
        <w:rPr>
          <w:b/>
          <w:szCs w:val="20"/>
          <w:lang w:val="sr-Latn-RS"/>
        </w:rPr>
      </w:pPr>
      <w:r w:rsidRPr="004C1F4D">
        <w:rPr>
          <w:b/>
          <w:szCs w:val="20"/>
          <w:lang w:val="sr-Latn-RS"/>
        </w:rPr>
        <w:t>Office for inquiry and issuance of the bidding document:</w:t>
      </w:r>
    </w:p>
    <w:p w:rsidR="001500ED" w:rsidRPr="004C1F4D" w:rsidRDefault="001500ED" w:rsidP="001500ED">
      <w:pPr>
        <w:suppressAutoHyphens/>
        <w:ind w:firstLine="630"/>
        <w:jc w:val="both"/>
        <w:rPr>
          <w:szCs w:val="20"/>
          <w:lang w:val="sr-Latn-RS"/>
        </w:rPr>
      </w:pPr>
      <w:r w:rsidRPr="004C1F4D">
        <w:rPr>
          <w:szCs w:val="20"/>
          <w:lang w:val="sr-Latn-RS"/>
        </w:rPr>
        <w:t>Ministry of Finance</w:t>
      </w:r>
    </w:p>
    <w:p w:rsidR="001500ED" w:rsidRPr="004C1F4D" w:rsidRDefault="001500ED" w:rsidP="001500ED">
      <w:pPr>
        <w:suppressAutoHyphens/>
        <w:ind w:firstLine="630"/>
        <w:jc w:val="both"/>
        <w:rPr>
          <w:szCs w:val="20"/>
          <w:lang w:val="sr-Latn-RS"/>
        </w:rPr>
      </w:pPr>
      <w:r w:rsidRPr="004C1F4D">
        <w:rPr>
          <w:szCs w:val="20"/>
          <w:lang w:val="sr-Latn-RS"/>
        </w:rPr>
        <w:t>Attn: Ljiljana Krejović, CFU</w:t>
      </w:r>
    </w:p>
    <w:p w:rsidR="001500ED" w:rsidRPr="004C1F4D" w:rsidRDefault="001500ED" w:rsidP="001500ED">
      <w:pPr>
        <w:suppressAutoHyphens/>
        <w:ind w:firstLine="630"/>
        <w:jc w:val="both"/>
        <w:rPr>
          <w:szCs w:val="20"/>
          <w:lang w:val="sr-Latn-RS"/>
        </w:rPr>
      </w:pPr>
      <w:r w:rsidRPr="004C1F4D">
        <w:rPr>
          <w:szCs w:val="20"/>
          <w:lang w:val="sr-Latn-RS"/>
        </w:rPr>
        <w:t>3-5 Sremska St, 7 floor</w:t>
      </w:r>
    </w:p>
    <w:p w:rsidR="001500ED" w:rsidRPr="004C1F4D" w:rsidRDefault="001500ED" w:rsidP="001500ED">
      <w:pPr>
        <w:suppressAutoHyphens/>
        <w:ind w:firstLine="630"/>
        <w:jc w:val="both"/>
        <w:rPr>
          <w:szCs w:val="20"/>
          <w:lang w:val="sr-Latn-RS"/>
        </w:rPr>
      </w:pPr>
      <w:r w:rsidRPr="004C1F4D">
        <w:rPr>
          <w:szCs w:val="20"/>
          <w:lang w:val="sr-Latn-RS"/>
        </w:rPr>
        <w:t>Room 708</w:t>
      </w:r>
    </w:p>
    <w:p w:rsidR="001500ED" w:rsidRPr="004C1F4D" w:rsidRDefault="001500ED" w:rsidP="001500ED">
      <w:pPr>
        <w:suppressAutoHyphens/>
        <w:ind w:firstLine="630"/>
        <w:jc w:val="both"/>
        <w:rPr>
          <w:szCs w:val="20"/>
          <w:lang w:val="sr-Latn-RS"/>
        </w:rPr>
      </w:pPr>
      <w:r w:rsidRPr="004C1F4D">
        <w:rPr>
          <w:szCs w:val="20"/>
          <w:lang w:val="sr-Latn-RS"/>
        </w:rPr>
        <w:t>Tel: +381 11 7652652</w:t>
      </w:r>
    </w:p>
    <w:p w:rsidR="001500ED" w:rsidRPr="004C1F4D" w:rsidRDefault="001500ED" w:rsidP="001500ED">
      <w:pPr>
        <w:suppressAutoHyphens/>
        <w:ind w:firstLine="630"/>
        <w:jc w:val="both"/>
        <w:rPr>
          <w:szCs w:val="20"/>
          <w:lang w:val="sr-Latn-RS"/>
        </w:rPr>
      </w:pPr>
      <w:r w:rsidRPr="004C1F4D">
        <w:rPr>
          <w:szCs w:val="20"/>
          <w:lang w:val="sr-Latn-RS"/>
        </w:rPr>
        <w:t>11000 Belgrade</w:t>
      </w:r>
    </w:p>
    <w:p w:rsidR="001500ED" w:rsidRPr="004C1F4D" w:rsidRDefault="001500ED" w:rsidP="001500ED">
      <w:pPr>
        <w:suppressAutoHyphens/>
        <w:ind w:firstLine="630"/>
        <w:jc w:val="both"/>
        <w:rPr>
          <w:szCs w:val="20"/>
          <w:lang w:val="sr-Latn-RS"/>
        </w:rPr>
      </w:pPr>
      <w:r w:rsidRPr="004C1F4D">
        <w:rPr>
          <w:szCs w:val="20"/>
          <w:lang w:val="sr-Latn-RS"/>
        </w:rPr>
        <w:t xml:space="preserve">To: </w:t>
      </w:r>
      <w:hyperlink r:id="rId5" w:history="1">
        <w:r w:rsidRPr="004C1F4D">
          <w:rPr>
            <w:color w:val="0000FF"/>
            <w:szCs w:val="20"/>
            <w:u w:val="single"/>
            <w:lang w:val="sr-Latn-RS"/>
          </w:rPr>
          <w:t>ljiljana.krejovic@mfin.gov.rs</w:t>
        </w:r>
      </w:hyperlink>
    </w:p>
    <w:p w:rsidR="001500ED" w:rsidRPr="004C1F4D" w:rsidRDefault="001500ED" w:rsidP="001500ED">
      <w:pPr>
        <w:suppressAutoHyphens/>
        <w:ind w:firstLine="630"/>
        <w:jc w:val="both"/>
        <w:rPr>
          <w:szCs w:val="20"/>
          <w:lang w:val="sr-Latn-RS"/>
        </w:rPr>
      </w:pPr>
      <w:r w:rsidRPr="004C1F4D">
        <w:rPr>
          <w:szCs w:val="20"/>
          <w:lang w:val="sr-Latn-RS"/>
        </w:rPr>
        <w:t xml:space="preserve">Cc: </w:t>
      </w:r>
      <w:hyperlink r:id="rId6" w:history="1">
        <w:r w:rsidRPr="004C1F4D">
          <w:rPr>
            <w:color w:val="0000FF"/>
            <w:szCs w:val="20"/>
            <w:u w:val="single"/>
            <w:lang w:val="sr-Latn-RS"/>
          </w:rPr>
          <w:t>ljiljana.dzuver@mfin.gov.rs</w:t>
        </w:r>
      </w:hyperlink>
    </w:p>
    <w:p w:rsidR="006E4CE5" w:rsidRPr="001500ED" w:rsidRDefault="001500ED" w:rsidP="001500ED">
      <w:pPr>
        <w:suppressAutoHyphens/>
        <w:ind w:firstLine="630"/>
        <w:jc w:val="both"/>
        <w:rPr>
          <w:szCs w:val="20"/>
          <w:lang w:val="sr-Latn-RS"/>
        </w:rPr>
      </w:pPr>
      <w:r w:rsidRPr="004C1F4D">
        <w:rPr>
          <w:szCs w:val="20"/>
          <w:lang w:val="sr-Latn-RS"/>
        </w:rPr>
        <w:t xml:space="preserve">Cc: </w:t>
      </w:r>
      <w:hyperlink r:id="rId7" w:history="1">
        <w:r w:rsidRPr="004C1F4D">
          <w:rPr>
            <w:color w:val="0000FF"/>
            <w:szCs w:val="20"/>
            <w:u w:val="single"/>
            <w:lang w:val="sr-Latn-RS"/>
          </w:rPr>
          <w:t>edge@ite.gov.rs</w:t>
        </w:r>
      </w:hyperlink>
    </w:p>
    <w:sectPr w:rsidR="006E4CE5" w:rsidRPr="0015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064A"/>
    <w:multiLevelType w:val="hybridMultilevel"/>
    <w:tmpl w:val="C76AEB8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 w15:restartNumberingAfterBreak="0">
    <w:nsid w:val="400B2A0B"/>
    <w:multiLevelType w:val="hybridMultilevel"/>
    <w:tmpl w:val="3956E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40CC6"/>
    <w:multiLevelType w:val="hybridMultilevel"/>
    <w:tmpl w:val="7C568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2E0E8D"/>
    <w:multiLevelType w:val="hybridMultilevel"/>
    <w:tmpl w:val="99F48AD2"/>
    <w:lvl w:ilvl="0" w:tplc="04090001">
      <w:start w:val="1"/>
      <w:numFmt w:val="bullet"/>
      <w:lvlText w:val=""/>
      <w:lvlJc w:val="left"/>
      <w:pPr>
        <w:ind w:left="1440" w:hanging="360"/>
      </w:pPr>
      <w:rPr>
        <w:rFonts w:ascii="Symbol" w:hAnsi="Symbol" w:hint="default"/>
      </w:rPr>
    </w:lvl>
    <w:lvl w:ilvl="1" w:tplc="18364BC0">
      <w:numFmt w:val="bullet"/>
      <w:lvlText w:val="•"/>
      <w:lvlJc w:val="left"/>
      <w:pPr>
        <w:ind w:left="2430" w:hanging="63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ED"/>
    <w:rsid w:val="001500ED"/>
    <w:rsid w:val="006E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6E42"/>
  <w15:chartTrackingRefBased/>
  <w15:docId w15:val="{C58CD790-9217-4C25-82AA-60568FF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00ED"/>
    <w:pPr>
      <w:jc w:val="center"/>
    </w:pPr>
    <w:rPr>
      <w:b/>
      <w:sz w:val="48"/>
    </w:rPr>
  </w:style>
  <w:style w:type="character" w:customStyle="1" w:styleId="TitleChar">
    <w:name w:val="Title Char"/>
    <w:basedOn w:val="DefaultParagraphFont"/>
    <w:link w:val="Title"/>
    <w:rsid w:val="001500ED"/>
    <w:rPr>
      <w:rFonts w:ascii="Times New Roman" w:eastAsia="Times New Roman" w:hAnsi="Times New Roman" w:cs="Times New Roman"/>
      <w:b/>
      <w:sz w:val="48"/>
      <w:szCs w:val="24"/>
    </w:rPr>
  </w:style>
  <w:style w:type="paragraph" w:styleId="ListParagraph">
    <w:name w:val="List Paragraph"/>
    <w:aliases w:val="Citation List,본문(내용),List Paragraph (numbered (a)),Liste 1,Liste Paragraf,List Paragraph1,TOC style,lp1,List1,List11,Use Case List Paragraph,Heading2,Colorful List - Accent 11,Bullet List,YC Bulet,numbered,FooterText,Paragraphe de liste1"/>
    <w:basedOn w:val="Normal"/>
    <w:link w:val="ListParagraphChar"/>
    <w:uiPriority w:val="34"/>
    <w:qFormat/>
    <w:rsid w:val="001500ED"/>
    <w:pPr>
      <w:ind w:left="720"/>
      <w:contextualSpacing/>
    </w:pPr>
  </w:style>
  <w:style w:type="paragraph" w:customStyle="1" w:styleId="ChapterNumber">
    <w:name w:val="ChapterNumber"/>
    <w:rsid w:val="001500ED"/>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1500E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table" w:styleId="TableGrid">
    <w:name w:val="Table Grid"/>
    <w:basedOn w:val="TableNormal"/>
    <w:uiPriority w:val="39"/>
    <w:rsid w:val="001500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iste 1 Char,Liste Paragraf Char,List Paragraph1 Char,TOC style Char,lp1 Char,List1 Char,List11 Char,Use Case List Paragraph Char,Heading2 Char,Bullet List Char"/>
    <w:basedOn w:val="DefaultParagraphFont"/>
    <w:link w:val="ListParagraph"/>
    <w:uiPriority w:val="34"/>
    <w:qFormat/>
    <w:rsid w:val="001500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ge@ite.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na.dzuver@mfin.gov.rs" TargetMode="External"/><Relationship Id="rId5" Type="http://schemas.openxmlformats.org/officeDocument/2006/relationships/hyperlink" Target="mailto:ljiljana.krejovic@mfin.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Krejović</dc:creator>
  <cp:keywords/>
  <dc:description/>
  <cp:lastModifiedBy>Ljiljana Krejović</cp:lastModifiedBy>
  <cp:revision>1</cp:revision>
  <dcterms:created xsi:type="dcterms:W3CDTF">2022-06-24T08:14:00Z</dcterms:created>
  <dcterms:modified xsi:type="dcterms:W3CDTF">2022-06-24T08:15:00Z</dcterms:modified>
</cp:coreProperties>
</file>